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6BA68" w14:textId="77777777" w:rsidR="007E2D42" w:rsidRPr="003D3EA4" w:rsidRDefault="00BA3BE0" w:rsidP="007E2D42">
      <w:pPr>
        <w:rPr>
          <w:b/>
          <w:lang w:val="fr-FR"/>
        </w:rPr>
      </w:pPr>
      <w:r w:rsidRPr="00281B91">
        <w:rPr>
          <w:b/>
          <w:noProof/>
          <w:lang w:val="fr-FR"/>
        </w:rPr>
        <w:drawing>
          <wp:anchor distT="0" distB="0" distL="114300" distR="114300" simplePos="0" relativeHeight="251659776" behindDoc="1" locked="0" layoutInCell="1" allowOverlap="1" wp14:anchorId="683313C8" wp14:editId="4C8FBAE5">
            <wp:simplePos x="0" y="0"/>
            <wp:positionH relativeFrom="margin">
              <wp:posOffset>2590800</wp:posOffset>
            </wp:positionH>
            <wp:positionV relativeFrom="paragraph">
              <wp:posOffset>-477520</wp:posOffset>
            </wp:positionV>
            <wp:extent cx="723900" cy="1095375"/>
            <wp:effectExtent l="0" t="0" r="0" b="952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oiries_du_Togo.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095375"/>
                    </a:xfrm>
                    <a:prstGeom prst="rect">
                      <a:avLst/>
                    </a:prstGeom>
                  </pic:spPr>
                </pic:pic>
              </a:graphicData>
            </a:graphic>
            <wp14:sizeRelH relativeFrom="margin">
              <wp14:pctWidth>0</wp14:pctWidth>
            </wp14:sizeRelH>
            <wp14:sizeRelV relativeFrom="margin">
              <wp14:pctHeight>0</wp14:pctHeight>
            </wp14:sizeRelV>
          </wp:anchor>
        </w:drawing>
      </w:r>
    </w:p>
    <w:p w14:paraId="1EF9F975" w14:textId="77777777" w:rsidR="00BA3BE0" w:rsidRPr="003D3EA4" w:rsidRDefault="00BA3BE0" w:rsidP="007E2D42">
      <w:pPr>
        <w:rPr>
          <w:b/>
          <w:lang w:val="fr-FR"/>
        </w:rPr>
      </w:pPr>
    </w:p>
    <w:p w14:paraId="76E3B087" w14:textId="77777777" w:rsidR="00BA3BE0" w:rsidRPr="003D3EA4" w:rsidRDefault="00BA3BE0" w:rsidP="007E2D42">
      <w:pPr>
        <w:rPr>
          <w:b/>
          <w:lang w:val="fr-FR"/>
        </w:rPr>
      </w:pPr>
    </w:p>
    <w:p w14:paraId="17F81FA2" w14:textId="77777777" w:rsidR="00BA3BE0" w:rsidRPr="003D3EA4" w:rsidRDefault="00BA3BE0" w:rsidP="007E2D42">
      <w:pPr>
        <w:rPr>
          <w:b/>
          <w:lang w:val="fr-FR"/>
        </w:rPr>
      </w:pPr>
    </w:p>
    <w:p w14:paraId="24E2559B" w14:textId="77777777" w:rsidR="007E2D42" w:rsidRPr="003D3EA4" w:rsidRDefault="007E2D42" w:rsidP="007E2D42">
      <w:pPr>
        <w:rPr>
          <w:lang w:val="fr-FR"/>
        </w:rPr>
      </w:pPr>
    </w:p>
    <w:p w14:paraId="19FAE74A" w14:textId="77777777" w:rsidR="007E2D42" w:rsidRPr="003D3EA4" w:rsidRDefault="007E2D42" w:rsidP="007E2D42">
      <w:pPr>
        <w:ind w:firstLine="708"/>
        <w:rPr>
          <w:lang w:val="fr-FR"/>
        </w:rPr>
      </w:pPr>
      <w:r w:rsidRPr="003D3EA4">
        <w:rPr>
          <w:b/>
          <w:lang w:val="fr-FR"/>
        </w:rPr>
        <w:t xml:space="preserve">                                         RÉPUBLIQUE TOGOLAISE</w:t>
      </w:r>
    </w:p>
    <w:p w14:paraId="4987BC67" w14:textId="77777777" w:rsidR="007E2D42" w:rsidRPr="003D3EA4" w:rsidRDefault="007E2D42" w:rsidP="007E2D42">
      <w:pPr>
        <w:ind w:firstLine="708"/>
        <w:rPr>
          <w:rFonts w:ascii="Franklin Gothic Book" w:hAnsi="Franklin Gothic Book"/>
          <w:lang w:val="fr-FR"/>
        </w:rPr>
      </w:pPr>
      <w:r w:rsidRPr="00874659">
        <w:rPr>
          <w:rFonts w:ascii="Franklin Gothic Book" w:hAnsi="Franklin Gothic Book"/>
          <w:noProof/>
          <w:color w:val="006666"/>
          <w:lang w:val="fr-FR"/>
        </w:rPr>
        <mc:AlternateContent>
          <mc:Choice Requires="wps">
            <w:drawing>
              <wp:anchor distT="0" distB="0" distL="114300" distR="114300" simplePos="0" relativeHeight="251655680" behindDoc="0" locked="0" layoutInCell="1" allowOverlap="1" wp14:anchorId="0BC0B7D9" wp14:editId="7B59C01E">
                <wp:simplePos x="0" y="0"/>
                <wp:positionH relativeFrom="column">
                  <wp:posOffset>2630805</wp:posOffset>
                </wp:positionH>
                <wp:positionV relativeFrom="paragraph">
                  <wp:posOffset>72390</wp:posOffset>
                </wp:positionV>
                <wp:extent cx="723900" cy="0"/>
                <wp:effectExtent l="0" t="19050" r="19050" b="38100"/>
                <wp:wrapNone/>
                <wp:docPr id="15" name="Connecteur droit 15"/>
                <wp:cNvGraphicFramePr/>
                <a:graphic xmlns:a="http://schemas.openxmlformats.org/drawingml/2006/main">
                  <a:graphicData uri="http://schemas.microsoft.com/office/word/2010/wordprocessingShape">
                    <wps:wsp>
                      <wps:cNvCnPr/>
                      <wps:spPr>
                        <a:xfrm>
                          <a:off x="0" y="0"/>
                          <a:ext cx="723900" cy="0"/>
                        </a:xfrm>
                        <a:prstGeom prst="line">
                          <a:avLst/>
                        </a:prstGeom>
                        <a:noFill/>
                        <a:ln w="57150" cap="flat" cmpd="sng" algn="ctr">
                          <a:solidFill>
                            <a:srgbClr val="006666"/>
                          </a:solidFill>
                          <a:prstDash val="solid"/>
                          <a:miter lim="800000"/>
                        </a:ln>
                        <a:effectLst/>
                      </wps:spPr>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24695A9" id="Connecteur droit 15"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7.15pt,5.7pt" to="264.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" strokecolor="#066" strokeweight="4.5pt">
                <v:stroke joinstyle="miter"/>
              </v:line>
            </w:pict>
          </mc:Fallback>
        </mc:AlternateContent>
      </w:r>
    </w:p>
    <w:p w14:paraId="77538FEF" w14:textId="77777777" w:rsidR="007E2D42" w:rsidRPr="003D3EA4" w:rsidRDefault="007E2D42" w:rsidP="007E2D42">
      <w:pPr>
        <w:rPr>
          <w:rFonts w:ascii="Franklin Gothic Book" w:hAnsi="Franklin Gothic Book"/>
          <w:lang w:val="fr-FR"/>
        </w:rPr>
      </w:pPr>
      <w:r w:rsidRPr="003D3EA4">
        <w:rPr>
          <w:rFonts w:ascii="Franklin Gothic Book" w:hAnsi="Franklin Gothic Book"/>
          <w:lang w:val="fr-FR"/>
        </w:rPr>
        <w:t xml:space="preserve">                                                              Ministère de l’Economie </w:t>
      </w:r>
    </w:p>
    <w:p w14:paraId="5BC5BFD4" w14:textId="77777777" w:rsidR="007E2D42" w:rsidRPr="003D3EA4" w:rsidRDefault="007E2D42" w:rsidP="007E2D42">
      <w:pPr>
        <w:rPr>
          <w:rFonts w:ascii="Franklin Gothic Book" w:eastAsia="Calibri" w:hAnsi="Franklin Gothic Book"/>
          <w:lang w:val="fr-FR"/>
        </w:rPr>
      </w:pPr>
      <w:r w:rsidRPr="003D3EA4">
        <w:rPr>
          <w:rFonts w:ascii="Franklin Gothic Book" w:hAnsi="Franklin Gothic Book"/>
          <w:lang w:val="fr-FR"/>
        </w:rPr>
        <w:t xml:space="preserve">                                                                     et des Finances</w:t>
      </w:r>
    </w:p>
    <w:p w14:paraId="4C5D1988" w14:textId="77777777" w:rsidR="007E2D42" w:rsidRPr="003D3EA4" w:rsidRDefault="007E2D42" w:rsidP="007E2D42">
      <w:pPr>
        <w:rPr>
          <w:rFonts w:ascii="Franklin Gothic Book" w:eastAsia="Calibri" w:hAnsi="Franklin Gothic Book"/>
          <w:b/>
          <w:bCs/>
          <w:lang w:val="fr-FR"/>
        </w:rPr>
      </w:pPr>
      <w:r w:rsidRPr="003D3EA4">
        <w:rPr>
          <w:rFonts w:ascii="Franklin Gothic Book" w:eastAsia="Calibri" w:hAnsi="Franklin Gothic Book"/>
          <w:lang w:val="fr-FR"/>
        </w:rPr>
        <w:t xml:space="preserve">                                                                                                              </w:t>
      </w:r>
      <w:r w:rsidRPr="003D3EA4">
        <w:rPr>
          <w:rFonts w:ascii="Franklin Gothic Book" w:eastAsia="Calibri" w:hAnsi="Franklin Gothic Book"/>
          <w:lang w:val="fr-FR"/>
        </w:rPr>
        <w:tab/>
      </w:r>
      <w:r w:rsidRPr="003D3EA4">
        <w:rPr>
          <w:rFonts w:ascii="Franklin Gothic Book" w:eastAsia="Calibri" w:hAnsi="Franklin Gothic Book"/>
          <w:lang w:val="fr-FR"/>
        </w:rPr>
        <w:tab/>
      </w:r>
      <w:r w:rsidRPr="003D3EA4">
        <w:rPr>
          <w:rFonts w:ascii="Franklin Gothic Book" w:eastAsia="Calibri" w:hAnsi="Franklin Gothic Book"/>
          <w:lang w:val="fr-FR"/>
        </w:rPr>
        <w:tab/>
      </w:r>
      <w:r w:rsidRPr="003D3EA4">
        <w:rPr>
          <w:rFonts w:ascii="Franklin Gothic Book" w:eastAsia="Calibri" w:hAnsi="Franklin Gothic Book"/>
          <w:lang w:val="fr-FR"/>
        </w:rPr>
        <w:tab/>
      </w:r>
      <w:r w:rsidRPr="003D3EA4">
        <w:rPr>
          <w:rFonts w:ascii="Franklin Gothic Book" w:eastAsia="Calibri" w:hAnsi="Franklin Gothic Book"/>
          <w:lang w:val="fr-FR"/>
        </w:rPr>
        <w:tab/>
        <w:t xml:space="preserve"> </w:t>
      </w:r>
    </w:p>
    <w:p w14:paraId="2AA9575D" w14:textId="77777777" w:rsidR="007E2D42" w:rsidRPr="003D3EA4" w:rsidRDefault="007E2D42" w:rsidP="007E2D42">
      <w:pPr>
        <w:rPr>
          <w:rFonts w:ascii="Franklin Gothic Book" w:eastAsia="Calibri" w:hAnsi="Franklin Gothic Book"/>
          <w:b/>
          <w:bCs/>
          <w:lang w:val="fr-FR"/>
        </w:rPr>
      </w:pPr>
      <w:r w:rsidRPr="003D3EA4">
        <w:rPr>
          <w:rFonts w:ascii="Franklin Gothic Book" w:eastAsia="Calibri" w:hAnsi="Franklin Gothic Book"/>
          <w:b/>
          <w:bCs/>
          <w:lang w:val="fr-FR"/>
        </w:rPr>
        <w:t xml:space="preserve">             SECRETARIAT GENERAL</w:t>
      </w:r>
    </w:p>
    <w:p w14:paraId="3D896646" w14:textId="77777777" w:rsidR="007E2D42" w:rsidRPr="003D3EA4" w:rsidRDefault="007E2D42" w:rsidP="007E2D42">
      <w:pPr>
        <w:rPr>
          <w:rFonts w:ascii="Franklin Gothic Book" w:eastAsia="Calibri" w:hAnsi="Franklin Gothic Book"/>
          <w:b/>
          <w:bCs/>
          <w:lang w:val="fr-FR"/>
        </w:rPr>
      </w:pPr>
      <w:r w:rsidRPr="003D3EA4">
        <w:rPr>
          <w:rFonts w:ascii="Franklin Gothic Book" w:eastAsia="Calibri" w:hAnsi="Franklin Gothic Book"/>
          <w:b/>
          <w:bCs/>
          <w:lang w:val="fr-FR"/>
        </w:rPr>
        <w:t xml:space="preserve">                     -----------------------</w:t>
      </w:r>
      <w:r w:rsidRPr="003D3EA4">
        <w:rPr>
          <w:rFonts w:ascii="Franklin Gothic Book" w:eastAsia="Calibri" w:hAnsi="Franklin Gothic Book"/>
          <w:b/>
          <w:bCs/>
          <w:lang w:val="fr-FR"/>
        </w:rPr>
        <w:tab/>
      </w:r>
      <w:r w:rsidRPr="003D3EA4">
        <w:rPr>
          <w:rFonts w:ascii="Franklin Gothic Book" w:eastAsia="Calibri" w:hAnsi="Franklin Gothic Book"/>
          <w:b/>
          <w:bCs/>
          <w:lang w:val="fr-FR"/>
        </w:rPr>
        <w:tab/>
      </w:r>
      <w:r w:rsidRPr="003D3EA4">
        <w:rPr>
          <w:rFonts w:ascii="Franklin Gothic Book" w:eastAsia="Calibri" w:hAnsi="Franklin Gothic Book"/>
          <w:b/>
          <w:bCs/>
          <w:lang w:val="fr-FR"/>
        </w:rPr>
        <w:tab/>
      </w:r>
      <w:r w:rsidRPr="003D3EA4">
        <w:rPr>
          <w:rFonts w:ascii="Franklin Gothic Book" w:eastAsia="Calibri" w:hAnsi="Franklin Gothic Book"/>
          <w:b/>
          <w:bCs/>
          <w:lang w:val="fr-FR"/>
        </w:rPr>
        <w:tab/>
      </w:r>
      <w:r w:rsidRPr="003D3EA4">
        <w:rPr>
          <w:rFonts w:ascii="Franklin Gothic Book" w:eastAsia="Calibri" w:hAnsi="Franklin Gothic Book"/>
          <w:b/>
          <w:bCs/>
          <w:lang w:val="fr-FR"/>
        </w:rPr>
        <w:tab/>
      </w:r>
    </w:p>
    <w:p w14:paraId="5B255CF3" w14:textId="77777777" w:rsidR="007E2D42" w:rsidRPr="003D3EA4" w:rsidRDefault="007E2D42" w:rsidP="007E2D42">
      <w:pPr>
        <w:rPr>
          <w:rFonts w:ascii="Franklin Gothic Book" w:eastAsia="Calibri" w:hAnsi="Franklin Gothic Book"/>
          <w:b/>
          <w:bCs/>
          <w:lang w:val="fr-FR"/>
        </w:rPr>
      </w:pPr>
      <w:r w:rsidRPr="003D3EA4">
        <w:rPr>
          <w:rFonts w:ascii="Franklin Gothic Book" w:eastAsia="Calibri" w:hAnsi="Franklin Gothic Book"/>
          <w:b/>
          <w:bCs/>
          <w:lang w:val="fr-FR"/>
        </w:rPr>
        <w:t xml:space="preserve">      DIRECTION DES ASSURANCES</w:t>
      </w:r>
    </w:p>
    <w:p w14:paraId="436BC818" w14:textId="77777777" w:rsidR="007E2D42" w:rsidRDefault="007E2D42" w:rsidP="005E40E4">
      <w:pPr>
        <w:jc w:val="center"/>
        <w:rPr>
          <w:b/>
          <w:sz w:val="36"/>
          <w:szCs w:val="36"/>
          <w:lang w:val="fr-FR"/>
        </w:rPr>
      </w:pPr>
    </w:p>
    <w:p w14:paraId="18E81730" w14:textId="77777777" w:rsidR="00855C02" w:rsidRPr="00B522E9" w:rsidRDefault="008A5E67" w:rsidP="005E40E4">
      <w:pPr>
        <w:jc w:val="center"/>
        <w:rPr>
          <w:b/>
          <w:sz w:val="36"/>
          <w:szCs w:val="36"/>
          <w:lang w:val="fr-FR"/>
        </w:rPr>
      </w:pPr>
      <w:r>
        <w:rPr>
          <w:b/>
          <w:sz w:val="36"/>
          <w:szCs w:val="36"/>
          <w:lang w:val="fr-FR"/>
        </w:rPr>
        <w:t xml:space="preserve">Sollicitation </w:t>
      </w:r>
      <w:r w:rsidR="00533B64" w:rsidRPr="00B522E9">
        <w:rPr>
          <w:b/>
          <w:sz w:val="36"/>
          <w:szCs w:val="36"/>
          <w:lang w:val="fr-FR"/>
        </w:rPr>
        <w:t>publi</w:t>
      </w:r>
      <w:r>
        <w:rPr>
          <w:b/>
          <w:sz w:val="36"/>
          <w:szCs w:val="36"/>
          <w:lang w:val="fr-FR"/>
        </w:rPr>
        <w:t>que</w:t>
      </w:r>
      <w:r w:rsidR="00533B64" w:rsidRPr="00B522E9">
        <w:rPr>
          <w:b/>
          <w:sz w:val="36"/>
          <w:szCs w:val="36"/>
          <w:lang w:val="fr-FR"/>
        </w:rPr>
        <w:t xml:space="preserve"> </w:t>
      </w:r>
      <w:r>
        <w:rPr>
          <w:b/>
          <w:sz w:val="36"/>
          <w:szCs w:val="36"/>
          <w:lang w:val="fr-FR"/>
        </w:rPr>
        <w:t>de</w:t>
      </w:r>
      <w:r w:rsidR="00533B64" w:rsidRPr="00B522E9">
        <w:rPr>
          <w:b/>
          <w:sz w:val="36"/>
          <w:szCs w:val="36"/>
          <w:lang w:val="fr-FR"/>
        </w:rPr>
        <w:t xml:space="preserve"> </w:t>
      </w:r>
      <w:r w:rsidR="00B522E9" w:rsidRPr="00B522E9">
        <w:rPr>
          <w:b/>
          <w:sz w:val="36"/>
          <w:szCs w:val="36"/>
          <w:lang w:val="fr-FR"/>
        </w:rPr>
        <w:t>manifestation</w:t>
      </w:r>
      <w:r>
        <w:rPr>
          <w:b/>
          <w:sz w:val="36"/>
          <w:szCs w:val="36"/>
          <w:lang w:val="fr-FR"/>
        </w:rPr>
        <w:t>s</w:t>
      </w:r>
      <w:r w:rsidR="00B522E9" w:rsidRPr="00B522E9">
        <w:rPr>
          <w:b/>
          <w:sz w:val="36"/>
          <w:szCs w:val="36"/>
          <w:lang w:val="fr-FR"/>
        </w:rPr>
        <w:t xml:space="preserve"> d’intérêt</w:t>
      </w:r>
    </w:p>
    <w:p w14:paraId="1ACE5771" w14:textId="77777777" w:rsidR="00855C02" w:rsidRDefault="00855C02">
      <w:pPr>
        <w:widowControl/>
        <w:rPr>
          <w:lang w:val="fr-FR"/>
        </w:rPr>
      </w:pPr>
    </w:p>
    <w:p w14:paraId="78FD5D11" w14:textId="77777777" w:rsidR="00855C02" w:rsidRDefault="00855C02">
      <w:pPr>
        <w:widowControl/>
        <w:rPr>
          <w:lang w:val="fr-FR"/>
        </w:rPr>
      </w:pPr>
    </w:p>
    <w:p w14:paraId="2AE85F45" w14:textId="77777777" w:rsidR="00855C02" w:rsidRPr="00BA3BE0" w:rsidRDefault="0045553D">
      <w:pPr>
        <w:widowControl/>
        <w:spacing w:after="200"/>
        <w:jc w:val="center"/>
        <w:rPr>
          <w:lang w:val="fr-FR"/>
        </w:rPr>
      </w:pPr>
      <w:r>
        <w:rPr>
          <w:i/>
          <w:lang w:val="fr-FR"/>
        </w:rPr>
        <w:t xml:space="preserve"> </w:t>
      </w:r>
      <w:r w:rsidR="002B4FDF" w:rsidRPr="00BA3BE0">
        <w:rPr>
          <w:lang w:val="fr-FR"/>
        </w:rPr>
        <w:t>APPEL A MANIFESTATION D’INTERET (AMI)</w:t>
      </w:r>
    </w:p>
    <w:p w14:paraId="2F9BAAEA" w14:textId="77777777" w:rsidR="0045553D" w:rsidRPr="00BA3BE0" w:rsidRDefault="002B4FDF" w:rsidP="0045553D">
      <w:pPr>
        <w:widowControl/>
        <w:spacing w:after="200"/>
        <w:jc w:val="center"/>
        <w:rPr>
          <w:lang w:val="fr-FR"/>
        </w:rPr>
      </w:pPr>
      <w:r w:rsidRPr="00BA3BE0">
        <w:rPr>
          <w:lang w:val="fr-FR"/>
        </w:rPr>
        <w:t>Stratégie</w:t>
      </w:r>
      <w:bookmarkStart w:id="0" w:name="_GoBack"/>
      <w:bookmarkEnd w:id="0"/>
      <w:r w:rsidRPr="00BA3BE0">
        <w:rPr>
          <w:lang w:val="fr-FR"/>
        </w:rPr>
        <w:t xml:space="preserve"> de développement du secteur des Assurances au Togo</w:t>
      </w:r>
    </w:p>
    <w:p w14:paraId="01F8AC7A" w14:textId="0D0FE556" w:rsidR="0045553D" w:rsidRPr="00BA3BE0" w:rsidRDefault="008F2557" w:rsidP="00BA3BE0">
      <w:pPr>
        <w:widowControl/>
        <w:spacing w:after="200"/>
        <w:jc w:val="center"/>
        <w:rPr>
          <w:i/>
          <w:iCs/>
          <w:lang w:val="pt-BR"/>
        </w:rPr>
      </w:pPr>
      <w:r>
        <w:rPr>
          <w:i/>
          <w:iCs/>
          <w:lang w:val="pt-BR"/>
        </w:rPr>
        <w:t>AMI N°845</w:t>
      </w:r>
      <w:r w:rsidR="00BA3BE0" w:rsidRPr="00BA3BE0">
        <w:rPr>
          <w:i/>
          <w:iCs/>
          <w:lang w:val="pt-BR"/>
        </w:rPr>
        <w:t>/MEF/SG/D</w:t>
      </w:r>
      <w:r w:rsidR="00BA3BE0">
        <w:rPr>
          <w:i/>
          <w:iCs/>
          <w:lang w:val="pt-BR"/>
        </w:rPr>
        <w:t>A/2024</w:t>
      </w:r>
    </w:p>
    <w:p w14:paraId="3BFD7327" w14:textId="6FA4DE9E" w:rsidR="00DA2691" w:rsidRDefault="002B4FDF" w:rsidP="00DA2691">
      <w:pPr>
        <w:widowControl/>
        <w:numPr>
          <w:ilvl w:val="0"/>
          <w:numId w:val="6"/>
        </w:numPr>
        <w:spacing w:after="200"/>
        <w:jc w:val="both"/>
        <w:rPr>
          <w:lang w:val="fr-FR"/>
        </w:rPr>
      </w:pPr>
      <w:r>
        <w:rPr>
          <w:iCs/>
          <w:lang w:val="fr-FR"/>
        </w:rPr>
        <w:t>Le Ministère de l’Economie et des Finances</w:t>
      </w:r>
      <w:r w:rsidR="0045553D" w:rsidRPr="0045553D">
        <w:rPr>
          <w:lang w:val="fr-FR"/>
        </w:rPr>
        <w:t xml:space="preserve"> </w:t>
      </w:r>
      <w:r w:rsidR="004F62A2">
        <w:rPr>
          <w:lang w:val="fr-FR"/>
        </w:rPr>
        <w:t xml:space="preserve">dispose, </w:t>
      </w:r>
      <w:r w:rsidR="00740D2D">
        <w:rPr>
          <w:lang w:val="fr-FR"/>
        </w:rPr>
        <w:t xml:space="preserve">sur le compte de la </w:t>
      </w:r>
      <w:r w:rsidR="00A3750B" w:rsidRPr="003D3EA4">
        <w:rPr>
          <w:rFonts w:ascii="Franklin Gothic Book" w:hAnsi="Franklin Gothic Book" w:cs="Tahoma"/>
          <w:lang w:val="fr-FR"/>
        </w:rPr>
        <w:t>Direction Nationale des Assurances » ouvert à la BCEAO – Lomé</w:t>
      </w:r>
      <w:r w:rsidR="004F62A2">
        <w:rPr>
          <w:rFonts w:ascii="Franklin Gothic Book" w:hAnsi="Franklin Gothic Book" w:cs="Tahoma"/>
          <w:lang w:val="fr-FR"/>
        </w:rPr>
        <w:t>,</w:t>
      </w:r>
      <w:r w:rsidR="00A3750B" w:rsidRPr="003D3EA4">
        <w:rPr>
          <w:rFonts w:ascii="Franklin Gothic Book" w:hAnsi="Franklin Gothic Book" w:cs="Tahoma"/>
          <w:lang w:val="fr-FR"/>
        </w:rPr>
        <w:t xml:space="preserve"> des </w:t>
      </w:r>
      <w:r w:rsidR="0045553D" w:rsidRPr="0045553D">
        <w:rPr>
          <w:lang w:val="fr-FR"/>
        </w:rPr>
        <w:t>fonds, afin de financer</w:t>
      </w:r>
      <w:r w:rsidR="0045553D" w:rsidRPr="0045553D">
        <w:rPr>
          <w:i/>
          <w:iCs/>
          <w:lang w:val="fr-FR"/>
        </w:rPr>
        <w:t xml:space="preserve"> </w:t>
      </w:r>
      <w:r w:rsidR="00A3750B">
        <w:rPr>
          <w:iCs/>
          <w:lang w:val="fr-FR"/>
        </w:rPr>
        <w:t>la rédaction de la stratégie de développement du secteur des Assurances au Togo</w:t>
      </w:r>
      <w:r w:rsidR="0045553D" w:rsidRPr="0045553D">
        <w:rPr>
          <w:i/>
          <w:iCs/>
          <w:lang w:val="fr-FR"/>
        </w:rPr>
        <w:t>,</w:t>
      </w:r>
      <w:r w:rsidR="0045553D" w:rsidRPr="0045553D">
        <w:rPr>
          <w:lang w:val="fr-FR"/>
        </w:rPr>
        <w:t xml:space="preserve"> et à l’intention d’utiliser une partie de ces fonds pour effec</w:t>
      </w:r>
      <w:r w:rsidR="00DA2691">
        <w:rPr>
          <w:lang w:val="fr-FR"/>
        </w:rPr>
        <w:t>tuer des paiements au titre du</w:t>
      </w:r>
      <w:r w:rsidR="00740D2D">
        <w:rPr>
          <w:lang w:val="fr-FR"/>
        </w:rPr>
        <w:t>dit</w:t>
      </w:r>
      <w:r w:rsidR="00DA2691">
        <w:rPr>
          <w:lang w:val="fr-FR"/>
        </w:rPr>
        <w:t xml:space="preserve"> m</w:t>
      </w:r>
      <w:r w:rsidR="0045553D" w:rsidRPr="0045553D">
        <w:rPr>
          <w:lang w:val="fr-FR"/>
        </w:rPr>
        <w:t xml:space="preserve">arché </w:t>
      </w:r>
      <w:r w:rsidR="00DA2691">
        <w:rPr>
          <w:lang w:val="fr-FR"/>
        </w:rPr>
        <w:t xml:space="preserve">de </w:t>
      </w:r>
      <w:r w:rsidR="0025634F">
        <w:rPr>
          <w:lang w:val="fr-FR"/>
        </w:rPr>
        <w:t xml:space="preserve">services </w:t>
      </w:r>
      <w:r w:rsidR="003B4E09">
        <w:rPr>
          <w:lang w:val="fr-FR"/>
        </w:rPr>
        <w:t xml:space="preserve">de </w:t>
      </w:r>
      <w:r w:rsidR="00DA2691">
        <w:rPr>
          <w:lang w:val="fr-FR"/>
        </w:rPr>
        <w:t>prestations intellectuelles</w:t>
      </w:r>
      <w:r w:rsidR="00ED27FA">
        <w:rPr>
          <w:lang w:val="fr-FR"/>
        </w:rPr>
        <w:t>.</w:t>
      </w:r>
    </w:p>
    <w:p w14:paraId="053766CE" w14:textId="77777777" w:rsidR="00DA2691" w:rsidRPr="004F62A2" w:rsidRDefault="00231B71" w:rsidP="00985B3E">
      <w:pPr>
        <w:widowControl/>
        <w:numPr>
          <w:ilvl w:val="0"/>
          <w:numId w:val="6"/>
        </w:numPr>
        <w:spacing w:after="200"/>
        <w:jc w:val="both"/>
        <w:rPr>
          <w:iCs/>
          <w:lang w:val="fr-FR"/>
        </w:rPr>
      </w:pPr>
      <w:r w:rsidRPr="004F62A2">
        <w:rPr>
          <w:iCs/>
          <w:lang w:val="fr-FR"/>
        </w:rPr>
        <w:t>Les services concer</w:t>
      </w:r>
      <w:r w:rsidR="004C318F" w:rsidRPr="004F62A2">
        <w:rPr>
          <w:iCs/>
          <w:lang w:val="fr-FR"/>
        </w:rPr>
        <w:t xml:space="preserve">nent </w:t>
      </w:r>
      <w:r w:rsidR="00ED27FA" w:rsidRPr="004F62A2">
        <w:rPr>
          <w:iCs/>
          <w:lang w:val="fr-FR"/>
        </w:rPr>
        <w:t xml:space="preserve">la rédaction de la stratégie de développement du secteur des assurances au Togo et sa mise en œuvre par le Ministère de l’Economie et des Finances / Direction des Assurances, autorité de tutelle des assurances et ce, en harmonie avec </w:t>
      </w:r>
      <w:r w:rsidR="00985B3E" w:rsidRPr="004F62A2">
        <w:rPr>
          <w:iCs/>
          <w:lang w:val="fr-FR"/>
        </w:rPr>
        <w:t>les autres secteurs composés de trois phases</w:t>
      </w:r>
      <w:r w:rsidR="00ED27FA" w:rsidRPr="004F62A2">
        <w:rPr>
          <w:iCs/>
          <w:lang w:val="fr-FR"/>
        </w:rPr>
        <w:t>.</w:t>
      </w:r>
    </w:p>
    <w:p w14:paraId="396FA9D4" w14:textId="77777777" w:rsidR="00E02383" w:rsidRPr="00E6148D" w:rsidRDefault="00E02383" w:rsidP="00E02383">
      <w:pPr>
        <w:pStyle w:val="Paragraphedeliste"/>
        <w:widowControl/>
        <w:numPr>
          <w:ilvl w:val="0"/>
          <w:numId w:val="13"/>
        </w:numPr>
        <w:spacing w:after="200"/>
        <w:jc w:val="both"/>
        <w:rPr>
          <w:b/>
          <w:lang w:val="fr-FR"/>
        </w:rPr>
      </w:pPr>
      <w:r w:rsidRPr="00E6148D">
        <w:rPr>
          <w:b/>
          <w:lang w:val="fr-FR"/>
        </w:rPr>
        <w:t>Phase 1 : L’état des lieux</w:t>
      </w:r>
    </w:p>
    <w:p w14:paraId="0BD2FE50" w14:textId="77777777" w:rsidR="00E6148D" w:rsidRPr="00E6148D" w:rsidRDefault="00E6148D" w:rsidP="00E6148D">
      <w:pPr>
        <w:widowControl/>
        <w:spacing w:after="200"/>
        <w:ind w:left="720"/>
        <w:jc w:val="both"/>
        <w:rPr>
          <w:lang w:val="fr-FR"/>
        </w:rPr>
      </w:pPr>
      <w:r>
        <w:rPr>
          <w:lang w:val="fr-FR"/>
        </w:rPr>
        <w:t>Le diagnostic stratégique du secteur et du régulateur en prenant en compte les forces, les faiblesses, les menaces et les opportunités.</w:t>
      </w:r>
    </w:p>
    <w:p w14:paraId="387303CD" w14:textId="77777777" w:rsidR="00E6148D" w:rsidRPr="00E6148D" w:rsidRDefault="00E6148D" w:rsidP="00E02383">
      <w:pPr>
        <w:pStyle w:val="Paragraphedeliste"/>
        <w:widowControl/>
        <w:numPr>
          <w:ilvl w:val="0"/>
          <w:numId w:val="13"/>
        </w:numPr>
        <w:spacing w:after="200"/>
        <w:jc w:val="both"/>
        <w:rPr>
          <w:b/>
          <w:lang w:val="fr-FR"/>
        </w:rPr>
      </w:pPr>
      <w:r w:rsidRPr="00E6148D">
        <w:rPr>
          <w:b/>
          <w:lang w:val="fr-FR"/>
        </w:rPr>
        <w:t xml:space="preserve">Phase 2 : </w:t>
      </w:r>
      <w:r>
        <w:rPr>
          <w:b/>
          <w:lang w:val="fr-FR"/>
        </w:rPr>
        <w:t>L’élaboration du document proprement dit</w:t>
      </w:r>
    </w:p>
    <w:p w14:paraId="2F65A6EA" w14:textId="77777777" w:rsidR="00E6148D" w:rsidRPr="00E6148D" w:rsidRDefault="00E6148D" w:rsidP="00E6148D">
      <w:pPr>
        <w:widowControl/>
        <w:spacing w:after="200"/>
        <w:ind w:left="720"/>
        <w:jc w:val="both"/>
        <w:rPr>
          <w:lang w:val="fr-FR"/>
        </w:rPr>
      </w:pPr>
      <w:r>
        <w:rPr>
          <w:lang w:val="fr-FR"/>
        </w:rPr>
        <w:t>L’élaboration d’une stratégie de développement du secteur des assurances pour tous au Togo.</w:t>
      </w:r>
    </w:p>
    <w:p w14:paraId="69C137DF" w14:textId="77777777" w:rsidR="00E6148D" w:rsidRPr="00E6148D" w:rsidRDefault="00E6148D" w:rsidP="00E02383">
      <w:pPr>
        <w:pStyle w:val="Paragraphedeliste"/>
        <w:widowControl/>
        <w:numPr>
          <w:ilvl w:val="0"/>
          <w:numId w:val="13"/>
        </w:numPr>
        <w:spacing w:after="200"/>
        <w:jc w:val="both"/>
        <w:rPr>
          <w:b/>
          <w:lang w:val="fr-FR"/>
        </w:rPr>
      </w:pPr>
      <w:r>
        <w:rPr>
          <w:b/>
          <w:lang w:val="fr-FR"/>
        </w:rPr>
        <w:t>Le plan d’actions</w:t>
      </w:r>
    </w:p>
    <w:p w14:paraId="10A49A92" w14:textId="77777777" w:rsidR="004F62A2" w:rsidRDefault="00E6148D" w:rsidP="00E6148D">
      <w:pPr>
        <w:widowControl/>
        <w:spacing w:after="200"/>
        <w:jc w:val="both"/>
        <w:rPr>
          <w:lang w:val="fr-FR"/>
        </w:rPr>
      </w:pPr>
      <w:r>
        <w:rPr>
          <w:lang w:val="fr-FR"/>
        </w:rPr>
        <w:t xml:space="preserve">            La proposition d’un plan d’actions efficace et efficient bien détaillé</w:t>
      </w:r>
      <w:r w:rsidR="004F62A2">
        <w:rPr>
          <w:lang w:val="fr-FR"/>
        </w:rPr>
        <w:t>.</w:t>
      </w:r>
    </w:p>
    <w:p w14:paraId="17A27017" w14:textId="77777777" w:rsidR="004F62A2" w:rsidRDefault="004F62A2" w:rsidP="00E6148D">
      <w:pPr>
        <w:widowControl/>
        <w:spacing w:after="200"/>
        <w:jc w:val="both"/>
        <w:rPr>
          <w:lang w:val="fr-FR"/>
        </w:rPr>
      </w:pPr>
    </w:p>
    <w:p w14:paraId="12D603AD" w14:textId="2F0EFE2E" w:rsidR="00F53DA2" w:rsidRDefault="00F53DA2" w:rsidP="004F62A2">
      <w:pPr>
        <w:widowControl/>
        <w:spacing w:after="200"/>
        <w:ind w:left="720"/>
        <w:jc w:val="both"/>
        <w:rPr>
          <w:lang w:val="fr-FR"/>
        </w:rPr>
      </w:pPr>
      <w:r>
        <w:rPr>
          <w:lang w:val="fr-FR"/>
        </w:rPr>
        <w:t>Le marché devrait s’étendre sur une durée maximum de 8 mois (3 mois pour la phase 1 et 5 mois pour les phase</w:t>
      </w:r>
      <w:r w:rsidR="004F62A2">
        <w:rPr>
          <w:lang w:val="fr-FR"/>
        </w:rPr>
        <w:t>s</w:t>
      </w:r>
      <w:r>
        <w:rPr>
          <w:lang w:val="fr-FR"/>
        </w:rPr>
        <w:t xml:space="preserve"> 2 et 3) à compter de la notification du marché. Le début de la mission est envisagé début 2025.</w:t>
      </w:r>
      <w:r w:rsidR="004F62A2">
        <w:rPr>
          <w:lang w:val="fr-FR"/>
        </w:rPr>
        <w:t xml:space="preserve"> </w:t>
      </w:r>
    </w:p>
    <w:p w14:paraId="3757CD34" w14:textId="77777777" w:rsidR="00E6148D" w:rsidRPr="00E02383" w:rsidRDefault="00E6148D" w:rsidP="00E02383">
      <w:pPr>
        <w:widowControl/>
        <w:spacing w:after="200"/>
        <w:ind w:left="720"/>
        <w:jc w:val="both"/>
        <w:rPr>
          <w:lang w:val="fr-FR"/>
        </w:rPr>
      </w:pPr>
    </w:p>
    <w:p w14:paraId="3E681710" w14:textId="77777777" w:rsidR="00915810" w:rsidRPr="004F62A2" w:rsidRDefault="00DA2691" w:rsidP="00D43B06">
      <w:pPr>
        <w:widowControl/>
        <w:numPr>
          <w:ilvl w:val="0"/>
          <w:numId w:val="6"/>
        </w:numPr>
        <w:spacing w:after="200"/>
        <w:jc w:val="both"/>
        <w:rPr>
          <w:szCs w:val="24"/>
          <w:lang w:val="fr-FR"/>
        </w:rPr>
      </w:pPr>
      <w:r w:rsidRPr="004F62A2">
        <w:rPr>
          <w:rFonts w:ascii="CG Times" w:hAnsi="CG Times"/>
          <w:szCs w:val="24"/>
          <w:lang w:val="fr-FR"/>
        </w:rPr>
        <w:t>L</w:t>
      </w:r>
      <w:r w:rsidR="002B240D" w:rsidRPr="004F62A2">
        <w:rPr>
          <w:rFonts w:ascii="CG Times" w:hAnsi="CG Times"/>
          <w:szCs w:val="24"/>
          <w:lang w:val="fr-FR"/>
        </w:rPr>
        <w:t>es cabinets</w:t>
      </w:r>
      <w:r w:rsidR="004C318F" w:rsidRPr="004F62A2">
        <w:rPr>
          <w:rFonts w:ascii="CG Times" w:hAnsi="CG Times"/>
          <w:szCs w:val="24"/>
          <w:lang w:val="fr-FR"/>
        </w:rPr>
        <w:t xml:space="preserve"> </w:t>
      </w:r>
      <w:r w:rsidRPr="004F62A2">
        <w:rPr>
          <w:rFonts w:ascii="CG Times" w:hAnsi="CG Times"/>
          <w:szCs w:val="24"/>
          <w:lang w:val="fr-FR"/>
        </w:rPr>
        <w:t>intéressés</w:t>
      </w:r>
      <w:r w:rsidR="002B240D" w:rsidRPr="004F62A2">
        <w:rPr>
          <w:rFonts w:ascii="CG Times" w:hAnsi="CG Times"/>
          <w:szCs w:val="24"/>
          <w:lang w:val="fr-FR"/>
        </w:rPr>
        <w:t>, disposants d’une expérience solide pour ce type de mission,</w:t>
      </w:r>
      <w:r w:rsidRPr="004F62A2">
        <w:rPr>
          <w:rFonts w:ascii="CG Times" w:hAnsi="CG Times"/>
          <w:szCs w:val="24"/>
          <w:lang w:val="fr-FR"/>
        </w:rPr>
        <w:t xml:space="preserve"> sont invités</w:t>
      </w:r>
      <w:r w:rsidR="004C318F" w:rsidRPr="004F62A2">
        <w:rPr>
          <w:rFonts w:ascii="CG Times" w:hAnsi="CG Times"/>
          <w:szCs w:val="24"/>
          <w:lang w:val="fr-FR"/>
        </w:rPr>
        <w:t xml:space="preserve"> à manifester leur intérêt </w:t>
      </w:r>
      <w:r w:rsidR="00BD38F6" w:rsidRPr="004F62A2">
        <w:rPr>
          <w:rFonts w:ascii="CG Times" w:hAnsi="CG Times"/>
          <w:szCs w:val="24"/>
          <w:lang w:val="fr-FR"/>
        </w:rPr>
        <w:t xml:space="preserve">pour la </w:t>
      </w:r>
      <w:r w:rsidR="002B240D" w:rsidRPr="004F62A2">
        <w:rPr>
          <w:rFonts w:ascii="CG Times" w:hAnsi="CG Times"/>
          <w:szCs w:val="24"/>
          <w:lang w:val="fr-FR"/>
        </w:rPr>
        <w:t>réalisa</w:t>
      </w:r>
      <w:r w:rsidR="00BD38F6" w:rsidRPr="004F62A2">
        <w:rPr>
          <w:rFonts w:ascii="CG Times" w:hAnsi="CG Times"/>
          <w:szCs w:val="24"/>
          <w:lang w:val="fr-FR"/>
        </w:rPr>
        <w:t>tion</w:t>
      </w:r>
      <w:r w:rsidR="004C318F" w:rsidRPr="004F62A2">
        <w:rPr>
          <w:rFonts w:ascii="CG Times" w:hAnsi="CG Times"/>
          <w:szCs w:val="24"/>
          <w:lang w:val="fr-FR"/>
        </w:rPr>
        <w:t xml:space="preserve"> </w:t>
      </w:r>
      <w:r w:rsidR="00BD38F6" w:rsidRPr="004F62A2">
        <w:rPr>
          <w:rFonts w:ascii="CG Times" w:hAnsi="CG Times"/>
          <w:szCs w:val="24"/>
          <w:lang w:val="fr-FR"/>
        </w:rPr>
        <w:t>d</w:t>
      </w:r>
      <w:r w:rsidRPr="004F62A2">
        <w:rPr>
          <w:rFonts w:ascii="CG Times" w:hAnsi="CG Times"/>
          <w:szCs w:val="24"/>
          <w:lang w:val="fr-FR"/>
        </w:rPr>
        <w:t>es services décrits ci-dessus en fournissant</w:t>
      </w:r>
      <w:r w:rsidR="004C318F" w:rsidRPr="004F62A2">
        <w:rPr>
          <w:rFonts w:ascii="CG Times" w:hAnsi="CG Times"/>
          <w:szCs w:val="24"/>
          <w:lang w:val="fr-FR"/>
        </w:rPr>
        <w:t xml:space="preserve"> les informations indiquant qu’ils sont qualifiés pour exécuter les services</w:t>
      </w:r>
      <w:r w:rsidR="00915810" w:rsidRPr="004F62A2">
        <w:rPr>
          <w:rFonts w:ascii="CG Times" w:hAnsi="CG Times"/>
          <w:szCs w:val="24"/>
          <w:lang w:val="fr-FR"/>
        </w:rPr>
        <w:t>.</w:t>
      </w:r>
    </w:p>
    <w:p w14:paraId="3A498C1E" w14:textId="77777777" w:rsidR="00915810" w:rsidRPr="004F62A2" w:rsidRDefault="00915810" w:rsidP="00D43B06">
      <w:pPr>
        <w:widowControl/>
        <w:numPr>
          <w:ilvl w:val="0"/>
          <w:numId w:val="6"/>
        </w:numPr>
        <w:spacing w:after="200"/>
        <w:jc w:val="both"/>
        <w:rPr>
          <w:szCs w:val="24"/>
          <w:lang w:val="fr-FR"/>
        </w:rPr>
      </w:pPr>
      <w:r w:rsidRPr="004F62A2">
        <w:rPr>
          <w:rFonts w:ascii="CG Times" w:hAnsi="CG Times"/>
          <w:szCs w:val="24"/>
          <w:lang w:val="fr-FR"/>
        </w:rPr>
        <w:t>Les candidatures seront évaluées sur la base des critères ci-après</w:t>
      </w:r>
      <w:r w:rsidR="00506F1A" w:rsidRPr="004F62A2">
        <w:rPr>
          <w:rStyle w:val="Appelnotedebasdep"/>
          <w:rFonts w:ascii="CG Times" w:hAnsi="CG Times"/>
          <w:sz w:val="24"/>
          <w:szCs w:val="24"/>
          <w:lang w:val="fr-FR"/>
        </w:rPr>
        <w:footnoteReference w:id="1"/>
      </w:r>
      <w:r w:rsidRPr="004F62A2">
        <w:rPr>
          <w:rFonts w:ascii="CG Times" w:hAnsi="CG Times"/>
          <w:szCs w:val="24"/>
          <w:lang w:val="fr-FR"/>
        </w:rPr>
        <w:t> :</w:t>
      </w:r>
    </w:p>
    <w:p w14:paraId="3291236E" w14:textId="5CF26FCF" w:rsidR="00915810" w:rsidRDefault="00D43B06" w:rsidP="00915810">
      <w:pPr>
        <w:widowControl/>
        <w:numPr>
          <w:ilvl w:val="0"/>
          <w:numId w:val="12"/>
        </w:numPr>
        <w:spacing w:after="200"/>
        <w:jc w:val="both"/>
        <w:rPr>
          <w:lang w:val="fr-FR"/>
        </w:rPr>
      </w:pPr>
      <w:proofErr w:type="gramStart"/>
      <w:r w:rsidRPr="00924399">
        <w:rPr>
          <w:b/>
          <w:lang w:val="fr-FR"/>
        </w:rPr>
        <w:t>la</w:t>
      </w:r>
      <w:proofErr w:type="gramEnd"/>
      <w:r w:rsidRPr="00924399">
        <w:rPr>
          <w:b/>
          <w:lang w:val="fr-FR"/>
        </w:rPr>
        <w:t xml:space="preserve"> nature des activités du candidat</w:t>
      </w:r>
      <w:r w:rsidRPr="00D43B06">
        <w:rPr>
          <w:lang w:val="fr-FR"/>
        </w:rPr>
        <w:t xml:space="preserve"> </w:t>
      </w:r>
      <w:r w:rsidR="00924399">
        <w:rPr>
          <w:lang w:val="fr-FR"/>
        </w:rPr>
        <w:t xml:space="preserve">(05 points pour le cabinet œuvrant dans le domaine de rédaction de la stratégie de développement </w:t>
      </w:r>
      <w:r w:rsidRPr="00D43B06">
        <w:rPr>
          <w:lang w:val="fr-FR"/>
        </w:rPr>
        <w:t xml:space="preserve">et </w:t>
      </w:r>
      <w:r w:rsidRPr="00924399">
        <w:rPr>
          <w:b/>
          <w:lang w:val="fr-FR"/>
        </w:rPr>
        <w:t>l</w:t>
      </w:r>
      <w:r w:rsidR="00915810" w:rsidRPr="00924399">
        <w:rPr>
          <w:b/>
          <w:lang w:val="fr-FR"/>
        </w:rPr>
        <w:t>e nombre d’années d’expérience</w:t>
      </w:r>
      <w:r w:rsidR="00915810">
        <w:rPr>
          <w:lang w:val="fr-FR"/>
        </w:rPr>
        <w:t xml:space="preserve"> </w:t>
      </w:r>
      <w:r w:rsidR="00F9753B">
        <w:rPr>
          <w:lang w:val="fr-FR"/>
        </w:rPr>
        <w:t xml:space="preserve"> (01 point</w:t>
      </w:r>
      <w:r w:rsidR="00924399">
        <w:rPr>
          <w:lang w:val="fr-FR"/>
        </w:rPr>
        <w:t xml:space="preserve"> </w:t>
      </w:r>
      <w:r w:rsidR="001E19AF">
        <w:rPr>
          <w:lang w:val="fr-FR"/>
        </w:rPr>
        <w:t>pour année</w:t>
      </w:r>
      <w:r w:rsidR="008138F8">
        <w:rPr>
          <w:lang w:val="fr-FR"/>
        </w:rPr>
        <w:t xml:space="preserve"> d’</w:t>
      </w:r>
      <w:r w:rsidR="00F9753B">
        <w:rPr>
          <w:lang w:val="fr-FR"/>
        </w:rPr>
        <w:t>expérience inférieure à 5 ans, 3</w:t>
      </w:r>
      <w:r w:rsidR="00924399">
        <w:rPr>
          <w:lang w:val="fr-FR"/>
        </w:rPr>
        <w:t xml:space="preserve"> </w:t>
      </w:r>
      <w:r w:rsidR="001E19AF">
        <w:rPr>
          <w:lang w:val="fr-FR"/>
        </w:rPr>
        <w:t>points pour année</w:t>
      </w:r>
      <w:r w:rsidR="008138F8">
        <w:rPr>
          <w:lang w:val="fr-FR"/>
        </w:rPr>
        <w:t xml:space="preserve"> d’expérience comprises ent</w:t>
      </w:r>
      <w:r w:rsidR="00F9753B">
        <w:rPr>
          <w:lang w:val="fr-FR"/>
        </w:rPr>
        <w:t xml:space="preserve">re 5 et 10 ans et </w:t>
      </w:r>
      <w:r w:rsidR="004F62A2">
        <w:rPr>
          <w:lang w:val="fr-FR"/>
        </w:rPr>
        <w:t>5</w:t>
      </w:r>
      <w:r w:rsidR="008138F8">
        <w:rPr>
          <w:lang w:val="fr-FR"/>
        </w:rPr>
        <w:t xml:space="preserve"> points pour l’année d’expérience supérieur</w:t>
      </w:r>
      <w:r w:rsidR="003101D0">
        <w:rPr>
          <w:lang w:val="fr-FR"/>
        </w:rPr>
        <w:t xml:space="preserve">e à 10 ans). </w:t>
      </w:r>
      <w:r w:rsidR="003101D0" w:rsidRPr="00915810">
        <w:rPr>
          <w:i/>
          <w:lang w:val="fr-FR"/>
        </w:rPr>
        <w:t>[</w:t>
      </w:r>
      <w:r w:rsidR="003101D0">
        <w:rPr>
          <w:i/>
          <w:lang w:val="fr-FR"/>
        </w:rPr>
        <w:t>Score total maximal 10 points</w:t>
      </w:r>
      <w:r w:rsidR="003101D0" w:rsidRPr="00915810">
        <w:rPr>
          <w:i/>
          <w:lang w:val="fr-FR"/>
        </w:rPr>
        <w:t>]</w:t>
      </w:r>
      <w:r w:rsidR="003101D0">
        <w:rPr>
          <w:i/>
          <w:lang w:val="fr-FR"/>
        </w:rPr>
        <w:t>.</w:t>
      </w:r>
    </w:p>
    <w:p w14:paraId="05090636" w14:textId="512C44F9" w:rsidR="00915810" w:rsidRDefault="00D43B06" w:rsidP="00915810">
      <w:pPr>
        <w:widowControl/>
        <w:numPr>
          <w:ilvl w:val="0"/>
          <w:numId w:val="12"/>
        </w:numPr>
        <w:spacing w:after="200"/>
        <w:jc w:val="both"/>
        <w:rPr>
          <w:lang w:val="fr-FR"/>
        </w:rPr>
      </w:pPr>
      <w:proofErr w:type="gramStart"/>
      <w:r w:rsidRPr="00B072B9">
        <w:rPr>
          <w:b/>
          <w:lang w:val="fr-FR"/>
        </w:rPr>
        <w:t>les</w:t>
      </w:r>
      <w:proofErr w:type="gramEnd"/>
      <w:r w:rsidRPr="00B072B9">
        <w:rPr>
          <w:b/>
          <w:lang w:val="fr-FR"/>
        </w:rPr>
        <w:t xml:space="preserve"> qualifications du candidat dans le domaine des prestations</w:t>
      </w:r>
      <w:r w:rsidR="00915810">
        <w:rPr>
          <w:lang w:val="fr-FR"/>
        </w:rPr>
        <w:t xml:space="preserve"> </w:t>
      </w:r>
      <w:r w:rsidR="00607E2C">
        <w:rPr>
          <w:lang w:val="fr-FR"/>
        </w:rPr>
        <w:t xml:space="preserve">(soit </w:t>
      </w:r>
      <w:r w:rsidR="00F012BC">
        <w:rPr>
          <w:lang w:val="fr-FR"/>
        </w:rPr>
        <w:t>5</w:t>
      </w:r>
      <w:r w:rsidR="00607E2C">
        <w:rPr>
          <w:lang w:val="fr-FR"/>
        </w:rPr>
        <w:t xml:space="preserve"> points par mission similaire</w:t>
      </w:r>
      <w:r w:rsidR="00915810">
        <w:rPr>
          <w:lang w:val="fr-FR"/>
        </w:rPr>
        <w:t>,</w:t>
      </w:r>
      <w:r w:rsidR="00F9753B">
        <w:rPr>
          <w:lang w:val="fr-FR"/>
        </w:rPr>
        <w:t xml:space="preserve"> (0</w:t>
      </w:r>
      <w:r w:rsidR="004F62A2">
        <w:rPr>
          <w:lang w:val="fr-FR"/>
        </w:rPr>
        <w:t>3</w:t>
      </w:r>
      <w:r w:rsidR="002F6D0A">
        <w:rPr>
          <w:lang w:val="fr-FR"/>
        </w:rPr>
        <w:t xml:space="preserve"> missions </w:t>
      </w:r>
      <w:r w:rsidR="00607E2C">
        <w:rPr>
          <w:lang w:val="fr-FR"/>
        </w:rPr>
        <w:t xml:space="preserve"> de rédaction de la stratégie de développement </w:t>
      </w:r>
      <w:r w:rsidR="002B7E63">
        <w:rPr>
          <w:lang w:val="fr-FR"/>
        </w:rPr>
        <w:t xml:space="preserve">d’une entité publique ou privée </w:t>
      </w:r>
      <w:r w:rsidR="00607E2C">
        <w:rPr>
          <w:lang w:val="fr-FR"/>
        </w:rPr>
        <w:t>et 0</w:t>
      </w:r>
      <w:r w:rsidR="00F012BC">
        <w:rPr>
          <w:lang w:val="fr-FR"/>
        </w:rPr>
        <w:t>3</w:t>
      </w:r>
      <w:r w:rsidR="002F6D0A">
        <w:rPr>
          <w:lang w:val="fr-FR"/>
        </w:rPr>
        <w:t xml:space="preserve"> missions </w:t>
      </w:r>
      <w:r w:rsidR="00607E2C">
        <w:rPr>
          <w:lang w:val="fr-FR"/>
        </w:rPr>
        <w:t xml:space="preserve">de rédaction de la stratégie de développement du secteur </w:t>
      </w:r>
      <w:r w:rsidR="002B7E63">
        <w:rPr>
          <w:lang w:val="fr-FR"/>
        </w:rPr>
        <w:t>de l’économie et des finances</w:t>
      </w:r>
      <w:r w:rsidR="00D061E2">
        <w:rPr>
          <w:lang w:val="fr-FR"/>
        </w:rPr>
        <w:t xml:space="preserve"> au cours des </w:t>
      </w:r>
      <w:r w:rsidR="00607E2C">
        <w:rPr>
          <w:lang w:val="fr-FR"/>
        </w:rPr>
        <w:t xml:space="preserve"> </w:t>
      </w:r>
      <w:r w:rsidR="00D061E2">
        <w:rPr>
          <w:lang w:val="fr-FR"/>
        </w:rPr>
        <w:t>dix dernières années, fournir les attestation de bonne fin d’exécution)</w:t>
      </w:r>
      <w:r w:rsidR="002B7E63">
        <w:rPr>
          <w:lang w:val="fr-FR"/>
        </w:rPr>
        <w:t xml:space="preserve"> </w:t>
      </w:r>
      <w:r w:rsidR="002B7E63" w:rsidRPr="00915810">
        <w:rPr>
          <w:i/>
          <w:lang w:val="fr-FR"/>
        </w:rPr>
        <w:t>[</w:t>
      </w:r>
      <w:r w:rsidR="002B7E63">
        <w:rPr>
          <w:i/>
          <w:lang w:val="fr-FR"/>
        </w:rPr>
        <w:t xml:space="preserve">Score total maximal </w:t>
      </w:r>
      <w:r w:rsidR="00F012BC">
        <w:rPr>
          <w:i/>
          <w:lang w:val="fr-FR"/>
        </w:rPr>
        <w:t>30</w:t>
      </w:r>
      <w:r w:rsidR="002B7E63">
        <w:rPr>
          <w:i/>
          <w:lang w:val="fr-FR"/>
        </w:rPr>
        <w:t xml:space="preserve"> points</w:t>
      </w:r>
      <w:r w:rsidR="002B7E63" w:rsidRPr="00915810">
        <w:rPr>
          <w:i/>
          <w:lang w:val="fr-FR"/>
        </w:rPr>
        <w:t>]</w:t>
      </w:r>
      <w:r w:rsidR="004F62A2">
        <w:rPr>
          <w:i/>
          <w:lang w:val="fr-FR"/>
        </w:rPr>
        <w:t>.</w:t>
      </w:r>
    </w:p>
    <w:p w14:paraId="463FF186" w14:textId="1C820853" w:rsidR="00915810" w:rsidRPr="00F012BC" w:rsidRDefault="00915810" w:rsidP="00F012BC">
      <w:pPr>
        <w:widowControl/>
        <w:numPr>
          <w:ilvl w:val="0"/>
          <w:numId w:val="12"/>
        </w:numPr>
        <w:spacing w:after="200"/>
        <w:jc w:val="both"/>
        <w:rPr>
          <w:lang w:val="fr-FR"/>
        </w:rPr>
      </w:pPr>
      <w:proofErr w:type="gramStart"/>
      <w:r w:rsidRPr="004F62A2">
        <w:rPr>
          <w:rFonts w:ascii="CG Times" w:hAnsi="CG Times"/>
          <w:b/>
          <w:szCs w:val="24"/>
          <w:lang w:val="fr-FR"/>
        </w:rPr>
        <w:t>les</w:t>
      </w:r>
      <w:proofErr w:type="gramEnd"/>
      <w:r w:rsidRPr="004F62A2">
        <w:rPr>
          <w:rFonts w:ascii="CG Times" w:hAnsi="CG Times"/>
          <w:b/>
          <w:szCs w:val="24"/>
          <w:lang w:val="fr-FR"/>
        </w:rPr>
        <w:t xml:space="preserve"> </w:t>
      </w:r>
      <w:r w:rsidR="00D43B06" w:rsidRPr="004F62A2">
        <w:rPr>
          <w:rFonts w:ascii="CG Times" w:hAnsi="CG Times"/>
          <w:b/>
          <w:szCs w:val="24"/>
          <w:lang w:val="fr-FR"/>
        </w:rPr>
        <w:t xml:space="preserve">références </w:t>
      </w:r>
      <w:r w:rsidRPr="004F62A2">
        <w:rPr>
          <w:rFonts w:ascii="CG Times" w:hAnsi="CG Times"/>
          <w:b/>
          <w:szCs w:val="24"/>
          <w:lang w:val="fr-FR"/>
        </w:rPr>
        <w:t xml:space="preserve">du candidat </w:t>
      </w:r>
      <w:r w:rsidR="00D43B06" w:rsidRPr="004F62A2">
        <w:rPr>
          <w:rFonts w:ascii="CG Times" w:hAnsi="CG Times"/>
          <w:b/>
          <w:szCs w:val="24"/>
          <w:lang w:val="fr-FR"/>
        </w:rPr>
        <w:t>concernant l’exécution de marchés analogues</w:t>
      </w:r>
      <w:r w:rsidRPr="004F62A2">
        <w:rPr>
          <w:rFonts w:ascii="CG Times" w:hAnsi="CG Times"/>
          <w:szCs w:val="24"/>
          <w:lang w:val="fr-FR"/>
        </w:rPr>
        <w:t xml:space="preserve"> </w:t>
      </w:r>
      <w:r w:rsidR="00FB5A05">
        <w:rPr>
          <w:rFonts w:ascii="CG Times" w:hAnsi="CG Times"/>
          <w:szCs w:val="24"/>
          <w:lang w:val="fr-FR"/>
        </w:rPr>
        <w:t xml:space="preserve">           </w:t>
      </w:r>
      <w:r w:rsidR="00B072B9" w:rsidRPr="004F62A2">
        <w:rPr>
          <w:szCs w:val="24"/>
          <w:lang w:val="fr-FR"/>
        </w:rPr>
        <w:t>(</w:t>
      </w:r>
      <w:r w:rsidR="00F012BC">
        <w:rPr>
          <w:szCs w:val="24"/>
          <w:lang w:val="fr-FR"/>
        </w:rPr>
        <w:t>8</w:t>
      </w:r>
      <w:r w:rsidR="00B072B9" w:rsidRPr="004F62A2">
        <w:rPr>
          <w:szCs w:val="24"/>
          <w:lang w:val="fr-FR"/>
        </w:rPr>
        <w:t xml:space="preserve"> points par référence similaire </w:t>
      </w:r>
      <w:r w:rsidR="000D202D" w:rsidRPr="004F62A2">
        <w:rPr>
          <w:szCs w:val="24"/>
          <w:lang w:val="fr-FR"/>
        </w:rPr>
        <w:t>(</w:t>
      </w:r>
      <w:r w:rsidR="00F012BC">
        <w:rPr>
          <w:szCs w:val="24"/>
          <w:lang w:val="fr-FR"/>
        </w:rPr>
        <w:t>5</w:t>
      </w:r>
      <w:r w:rsidR="000D202D" w:rsidRPr="004F62A2">
        <w:rPr>
          <w:szCs w:val="24"/>
          <w:lang w:val="fr-FR"/>
        </w:rPr>
        <w:t xml:space="preserve"> missions minimum </w:t>
      </w:r>
      <w:r w:rsidR="00FB5A05" w:rsidRPr="004F62A2">
        <w:rPr>
          <w:szCs w:val="24"/>
          <w:lang w:val="fr-FR"/>
        </w:rPr>
        <w:t xml:space="preserve">de rédaction de stratégie de développement du secteur </w:t>
      </w:r>
      <w:r w:rsidR="00FB5A05">
        <w:rPr>
          <w:szCs w:val="24"/>
          <w:lang w:val="fr-FR"/>
        </w:rPr>
        <w:t>des assurances</w:t>
      </w:r>
      <w:r w:rsidR="00FB5A05" w:rsidRPr="004F62A2">
        <w:rPr>
          <w:szCs w:val="24"/>
          <w:lang w:val="fr-FR"/>
        </w:rPr>
        <w:t xml:space="preserve"> ou équivalents)</w:t>
      </w:r>
      <w:r w:rsidR="00491094" w:rsidRPr="004F62A2">
        <w:rPr>
          <w:szCs w:val="24"/>
          <w:lang w:val="fr-FR"/>
        </w:rPr>
        <w:t>. Fournir les attestations de bonne</w:t>
      </w:r>
      <w:r w:rsidR="00CA5CA1" w:rsidRPr="004F62A2">
        <w:rPr>
          <w:szCs w:val="24"/>
          <w:lang w:val="fr-FR"/>
        </w:rPr>
        <w:t xml:space="preserve">s fins d’exécution </w:t>
      </w:r>
      <w:r w:rsidR="00F012BC" w:rsidRPr="00915810">
        <w:rPr>
          <w:i/>
          <w:lang w:val="fr-FR"/>
        </w:rPr>
        <w:t>[</w:t>
      </w:r>
      <w:r w:rsidR="00F012BC">
        <w:rPr>
          <w:i/>
          <w:lang w:val="fr-FR"/>
        </w:rPr>
        <w:t>Score total maximal 40 points</w:t>
      </w:r>
      <w:r w:rsidR="00F012BC" w:rsidRPr="00915810">
        <w:rPr>
          <w:i/>
          <w:lang w:val="fr-FR"/>
        </w:rPr>
        <w:t>]</w:t>
      </w:r>
      <w:r w:rsidR="00F012BC">
        <w:rPr>
          <w:i/>
          <w:lang w:val="fr-FR"/>
        </w:rPr>
        <w:t>.</w:t>
      </w:r>
    </w:p>
    <w:p w14:paraId="1E218C74" w14:textId="57233CF0" w:rsidR="00CA5CA1" w:rsidRDefault="00F14A4F" w:rsidP="00915810">
      <w:pPr>
        <w:widowControl/>
        <w:numPr>
          <w:ilvl w:val="0"/>
          <w:numId w:val="12"/>
        </w:numPr>
        <w:spacing w:after="200"/>
        <w:jc w:val="both"/>
        <w:rPr>
          <w:lang w:val="fr-FR"/>
        </w:rPr>
      </w:pPr>
      <w:r>
        <w:rPr>
          <w:b/>
          <w:lang w:val="fr-FR"/>
        </w:rPr>
        <w:t>L</w:t>
      </w:r>
      <w:r w:rsidR="00D43B06" w:rsidRPr="00CA5CA1">
        <w:rPr>
          <w:b/>
          <w:lang w:val="fr-FR"/>
        </w:rPr>
        <w:t>’organisation technique et managériale du cabinet</w:t>
      </w:r>
      <w:r w:rsidR="00915810">
        <w:rPr>
          <w:lang w:val="fr-FR"/>
        </w:rPr>
        <w:t xml:space="preserve"> </w:t>
      </w:r>
      <w:r w:rsidR="00CA5CA1">
        <w:rPr>
          <w:lang w:val="fr-FR"/>
        </w:rPr>
        <w:t>(</w:t>
      </w:r>
      <w:r w:rsidR="002E0C27">
        <w:rPr>
          <w:lang w:val="fr-FR"/>
        </w:rPr>
        <w:t>1</w:t>
      </w:r>
      <w:r w:rsidR="00CA5CA1">
        <w:rPr>
          <w:lang w:val="fr-FR"/>
        </w:rPr>
        <w:t>0 points)</w:t>
      </w:r>
    </w:p>
    <w:p w14:paraId="377ACAAC" w14:textId="76C09910" w:rsidR="00915810" w:rsidRPr="00055363" w:rsidRDefault="0033796B" w:rsidP="00915810">
      <w:pPr>
        <w:widowControl/>
        <w:numPr>
          <w:ilvl w:val="0"/>
          <w:numId w:val="12"/>
        </w:numPr>
        <w:spacing w:after="200"/>
        <w:jc w:val="both"/>
        <w:rPr>
          <w:lang w:val="fr-FR"/>
        </w:rPr>
      </w:pPr>
      <w:r>
        <w:rPr>
          <w:b/>
          <w:lang w:val="fr-FR"/>
        </w:rPr>
        <w:t>L</w:t>
      </w:r>
      <w:r w:rsidR="00D43B06" w:rsidRPr="00CA5CA1">
        <w:rPr>
          <w:b/>
          <w:lang w:val="fr-FR"/>
        </w:rPr>
        <w:t xml:space="preserve">es qualifications </w:t>
      </w:r>
      <w:r w:rsidR="00F14A4F">
        <w:rPr>
          <w:b/>
          <w:lang w:val="fr-FR"/>
        </w:rPr>
        <w:t>générales</w:t>
      </w:r>
      <w:r w:rsidR="00CA5CA1">
        <w:rPr>
          <w:b/>
          <w:lang w:val="fr-FR"/>
        </w:rPr>
        <w:t xml:space="preserve"> pour la mission</w:t>
      </w:r>
      <w:r w:rsidR="00CA5CA1">
        <w:rPr>
          <w:lang w:val="fr-FR"/>
        </w:rPr>
        <w:t xml:space="preserve"> : </w:t>
      </w:r>
      <w:r w:rsidR="00F012BC">
        <w:rPr>
          <w:lang w:val="fr-FR"/>
        </w:rPr>
        <w:t>(1</w:t>
      </w:r>
      <w:r w:rsidR="00CA5CA1">
        <w:rPr>
          <w:lang w:val="fr-FR"/>
        </w:rPr>
        <w:t>0 points</w:t>
      </w:r>
      <w:r w:rsidR="00F012BC">
        <w:rPr>
          <w:lang w:val="fr-FR"/>
        </w:rPr>
        <w:t>)</w:t>
      </w:r>
      <w:r w:rsidR="00CA5CA1">
        <w:rPr>
          <w:i/>
          <w:lang w:val="fr-FR"/>
        </w:rPr>
        <w:t xml:space="preserve"> </w:t>
      </w:r>
    </w:p>
    <w:p w14:paraId="7CBE0BFC" w14:textId="4C306EA2" w:rsidR="00055363" w:rsidRPr="00055363" w:rsidRDefault="00055363" w:rsidP="006039B6">
      <w:pPr>
        <w:widowControl/>
        <w:spacing w:after="200"/>
        <w:ind w:left="720"/>
        <w:jc w:val="both"/>
        <w:rPr>
          <w:lang w:val="fr-FR"/>
        </w:rPr>
      </w:pPr>
      <w:r>
        <w:rPr>
          <w:lang w:val="fr-FR"/>
        </w:rPr>
        <w:t>(</w:t>
      </w:r>
      <w:r w:rsidR="00F14A4F">
        <w:rPr>
          <w:lang w:val="fr-FR"/>
        </w:rPr>
        <w:t>3</w:t>
      </w:r>
      <w:r w:rsidR="009C60D0">
        <w:rPr>
          <w:lang w:val="fr-FR"/>
        </w:rPr>
        <w:t xml:space="preserve"> points par administrateur des assurances BAC +5 et </w:t>
      </w:r>
      <w:r w:rsidR="006039B6">
        <w:rPr>
          <w:lang w:val="fr-FR"/>
        </w:rPr>
        <w:t xml:space="preserve">(6 points maximum) </w:t>
      </w:r>
      <w:r w:rsidR="00F14A4F">
        <w:rPr>
          <w:lang w:val="fr-FR"/>
        </w:rPr>
        <w:t xml:space="preserve">2 </w:t>
      </w:r>
      <w:r w:rsidR="009C60D0">
        <w:rPr>
          <w:lang w:val="fr-FR"/>
        </w:rPr>
        <w:t>point</w:t>
      </w:r>
      <w:r w:rsidR="00F14A4F">
        <w:rPr>
          <w:lang w:val="fr-FR"/>
        </w:rPr>
        <w:t>s</w:t>
      </w:r>
      <w:r w:rsidR="009C60D0">
        <w:rPr>
          <w:lang w:val="fr-FR"/>
        </w:rPr>
        <w:t xml:space="preserve"> </w:t>
      </w:r>
      <w:r w:rsidR="006039B6">
        <w:rPr>
          <w:lang w:val="fr-FR"/>
        </w:rPr>
        <w:t>par technicien des assurances BAC+2/3 (4 points maximum).</w:t>
      </w:r>
    </w:p>
    <w:p w14:paraId="21DECB25" w14:textId="5F2DD57F" w:rsidR="006039B6" w:rsidRDefault="006039B6" w:rsidP="00D43B06">
      <w:pPr>
        <w:widowControl/>
        <w:numPr>
          <w:ilvl w:val="0"/>
          <w:numId w:val="6"/>
        </w:numPr>
        <w:spacing w:after="200"/>
        <w:jc w:val="both"/>
        <w:rPr>
          <w:lang w:val="fr-FR"/>
        </w:rPr>
      </w:pPr>
      <w:r>
        <w:rPr>
          <w:lang w:val="fr-FR"/>
        </w:rPr>
        <w:t>Les candidats devront joindre à leur manifestation d’i</w:t>
      </w:r>
      <w:r w:rsidR="00F14A4F">
        <w:rPr>
          <w:lang w:val="fr-FR"/>
        </w:rPr>
        <w:t>ntérêt les pièces administratives</w:t>
      </w:r>
      <w:r>
        <w:rPr>
          <w:lang w:val="fr-FR"/>
        </w:rPr>
        <w:t xml:space="preserve"> suivantes :</w:t>
      </w:r>
    </w:p>
    <w:p w14:paraId="7B240302" w14:textId="4C752325" w:rsidR="006039B6" w:rsidRDefault="00F012BC" w:rsidP="00496D3F">
      <w:pPr>
        <w:widowControl/>
        <w:ind w:left="720"/>
        <w:jc w:val="both"/>
        <w:rPr>
          <w:szCs w:val="24"/>
          <w:lang w:val="fr-FR"/>
        </w:rPr>
      </w:pPr>
      <w:r w:rsidRPr="006039B6">
        <w:rPr>
          <w:sz w:val="48"/>
          <w:szCs w:val="48"/>
          <w:lang w:val="fr-FR"/>
        </w:rPr>
        <w:t>.</w:t>
      </w:r>
      <w:r>
        <w:rPr>
          <w:szCs w:val="24"/>
          <w:lang w:val="fr-FR"/>
        </w:rPr>
        <w:t xml:space="preserve"> Carte</w:t>
      </w:r>
      <w:r w:rsidR="006039B6">
        <w:rPr>
          <w:szCs w:val="24"/>
          <w:lang w:val="fr-FR"/>
        </w:rPr>
        <w:t xml:space="preserve"> d’immatriculation fiscale</w:t>
      </w:r>
      <w:r>
        <w:rPr>
          <w:szCs w:val="24"/>
          <w:lang w:val="fr-FR"/>
        </w:rPr>
        <w:t xml:space="preserve"> ou équivalents</w:t>
      </w:r>
      <w:r w:rsidR="006039B6">
        <w:rPr>
          <w:szCs w:val="24"/>
          <w:lang w:val="fr-FR"/>
        </w:rPr>
        <w:t> ;</w:t>
      </w:r>
    </w:p>
    <w:p w14:paraId="2F946940" w14:textId="55DAAA42" w:rsidR="006039B6" w:rsidRDefault="00F012BC" w:rsidP="00496D3F">
      <w:pPr>
        <w:widowControl/>
        <w:ind w:left="720"/>
        <w:jc w:val="both"/>
        <w:rPr>
          <w:szCs w:val="24"/>
          <w:lang w:val="fr-FR"/>
        </w:rPr>
      </w:pPr>
      <w:r w:rsidRPr="006039B6">
        <w:rPr>
          <w:sz w:val="48"/>
          <w:szCs w:val="48"/>
          <w:lang w:val="fr-FR"/>
        </w:rPr>
        <w:t>.</w:t>
      </w:r>
      <w:r w:rsidRPr="006039B6">
        <w:rPr>
          <w:szCs w:val="24"/>
          <w:lang w:val="fr-FR"/>
        </w:rPr>
        <w:t xml:space="preserve"> Extrait</w:t>
      </w:r>
      <w:r w:rsidR="006039B6">
        <w:rPr>
          <w:szCs w:val="24"/>
          <w:lang w:val="fr-FR"/>
        </w:rPr>
        <w:t xml:space="preserve"> du registre du commerce et du crédit mobilier ;</w:t>
      </w:r>
    </w:p>
    <w:p w14:paraId="040DB175" w14:textId="46BB11F3" w:rsidR="00795785" w:rsidRDefault="00F012BC" w:rsidP="00795785">
      <w:pPr>
        <w:widowControl/>
        <w:ind w:left="720"/>
        <w:jc w:val="both"/>
        <w:rPr>
          <w:szCs w:val="24"/>
          <w:lang w:val="fr-FR"/>
        </w:rPr>
      </w:pPr>
      <w:r w:rsidRPr="006039B6">
        <w:rPr>
          <w:sz w:val="48"/>
          <w:szCs w:val="48"/>
          <w:lang w:val="fr-FR"/>
        </w:rPr>
        <w:t>.</w:t>
      </w:r>
      <w:r>
        <w:rPr>
          <w:szCs w:val="24"/>
          <w:lang w:val="fr-FR"/>
        </w:rPr>
        <w:t xml:space="preserve"> Attestation</w:t>
      </w:r>
      <w:r w:rsidR="006039B6">
        <w:rPr>
          <w:szCs w:val="24"/>
          <w:lang w:val="fr-FR"/>
        </w:rPr>
        <w:t xml:space="preserve"> de non faillite datant de moins de trois (03) mois ;</w:t>
      </w:r>
    </w:p>
    <w:p w14:paraId="093CD6B9" w14:textId="2A2FE6B3" w:rsidR="006039B6" w:rsidRDefault="00F012BC" w:rsidP="00496D3F">
      <w:pPr>
        <w:widowControl/>
        <w:ind w:left="720"/>
        <w:jc w:val="both"/>
        <w:rPr>
          <w:szCs w:val="24"/>
          <w:lang w:val="fr-FR"/>
        </w:rPr>
      </w:pPr>
      <w:r w:rsidRPr="006039B6">
        <w:rPr>
          <w:sz w:val="48"/>
          <w:szCs w:val="48"/>
          <w:lang w:val="fr-FR"/>
        </w:rPr>
        <w:lastRenderedPageBreak/>
        <w:t>.</w:t>
      </w:r>
      <w:r w:rsidRPr="00F72CFC">
        <w:rPr>
          <w:szCs w:val="24"/>
          <w:lang w:val="fr-FR"/>
        </w:rPr>
        <w:t xml:space="preserve"> Quitus</w:t>
      </w:r>
      <w:r w:rsidR="00F72CFC" w:rsidRPr="00F72CFC">
        <w:rPr>
          <w:szCs w:val="24"/>
          <w:lang w:val="fr-FR"/>
        </w:rPr>
        <w:t xml:space="preserve"> fiscal</w:t>
      </w:r>
      <w:r w:rsidR="00F72CFC">
        <w:rPr>
          <w:sz w:val="48"/>
          <w:szCs w:val="48"/>
          <w:lang w:val="fr-FR"/>
        </w:rPr>
        <w:t xml:space="preserve"> </w:t>
      </w:r>
      <w:r w:rsidR="00F72CFC" w:rsidRPr="00F72CFC">
        <w:rPr>
          <w:szCs w:val="24"/>
          <w:lang w:val="fr-FR"/>
        </w:rPr>
        <w:t>d</w:t>
      </w:r>
      <w:r w:rsidR="00F72CFC">
        <w:rPr>
          <w:szCs w:val="24"/>
          <w:lang w:val="fr-FR"/>
        </w:rPr>
        <w:t>atant de moins d’un (01) an ou l’attestation de régularité fiscale datant de moins de trois (03) mois ;</w:t>
      </w:r>
    </w:p>
    <w:p w14:paraId="7E063193" w14:textId="77918B1C" w:rsidR="00F72CFC" w:rsidRDefault="00F012BC" w:rsidP="00496D3F">
      <w:pPr>
        <w:widowControl/>
        <w:ind w:left="720"/>
        <w:jc w:val="both"/>
        <w:rPr>
          <w:szCs w:val="24"/>
          <w:lang w:val="fr-FR"/>
        </w:rPr>
      </w:pPr>
      <w:r w:rsidRPr="00F72CFC">
        <w:rPr>
          <w:sz w:val="48"/>
          <w:szCs w:val="48"/>
          <w:lang w:val="fr-FR"/>
        </w:rPr>
        <w:t>.</w:t>
      </w:r>
      <w:r>
        <w:rPr>
          <w:szCs w:val="24"/>
          <w:lang w:val="fr-FR"/>
        </w:rPr>
        <w:t xml:space="preserve"> Attestation</w:t>
      </w:r>
      <w:r w:rsidR="00F72CFC">
        <w:rPr>
          <w:szCs w:val="24"/>
          <w:lang w:val="fr-FR"/>
        </w:rPr>
        <w:t xml:space="preserve"> d’inspection du travail et des lois sociales (ITLS) datant de moi</w:t>
      </w:r>
      <w:r>
        <w:rPr>
          <w:szCs w:val="24"/>
          <w:lang w:val="fr-FR"/>
        </w:rPr>
        <w:t>n</w:t>
      </w:r>
      <w:r w:rsidR="00F72CFC">
        <w:rPr>
          <w:szCs w:val="24"/>
          <w:lang w:val="fr-FR"/>
        </w:rPr>
        <w:t>s de trois (03) mois</w:t>
      </w:r>
    </w:p>
    <w:p w14:paraId="4EA8C159" w14:textId="01A5DC1E" w:rsidR="00F72CFC" w:rsidRDefault="00F012BC" w:rsidP="00496D3F">
      <w:pPr>
        <w:widowControl/>
        <w:ind w:left="720"/>
        <w:jc w:val="both"/>
        <w:rPr>
          <w:szCs w:val="24"/>
          <w:lang w:val="fr-FR"/>
        </w:rPr>
      </w:pPr>
      <w:r w:rsidRPr="00F72CFC">
        <w:rPr>
          <w:sz w:val="48"/>
          <w:szCs w:val="48"/>
          <w:lang w:val="fr-FR"/>
        </w:rPr>
        <w:t>.</w:t>
      </w:r>
      <w:r w:rsidRPr="00F72CFC">
        <w:rPr>
          <w:szCs w:val="24"/>
          <w:lang w:val="fr-FR"/>
        </w:rPr>
        <w:t xml:space="preserve"> Quitus</w:t>
      </w:r>
      <w:r w:rsidR="00F72CFC">
        <w:rPr>
          <w:szCs w:val="24"/>
          <w:lang w:val="fr-FR"/>
        </w:rPr>
        <w:t xml:space="preserve"> social datant de moins de trois (03) mois ;</w:t>
      </w:r>
    </w:p>
    <w:p w14:paraId="3B0E515E" w14:textId="20542B0C" w:rsidR="00F72CFC" w:rsidRPr="00F012BC" w:rsidRDefault="00F012BC" w:rsidP="00496D3F">
      <w:pPr>
        <w:widowControl/>
        <w:ind w:left="720"/>
        <w:jc w:val="both"/>
        <w:rPr>
          <w:rFonts w:ascii="CG Times" w:hAnsi="CG Times"/>
          <w:szCs w:val="24"/>
          <w:lang w:val="fr-FR"/>
        </w:rPr>
      </w:pPr>
      <w:r w:rsidRPr="00F72CFC">
        <w:rPr>
          <w:sz w:val="48"/>
          <w:szCs w:val="48"/>
          <w:lang w:val="fr-FR"/>
        </w:rPr>
        <w:t>.</w:t>
      </w:r>
      <w:r w:rsidRPr="00F72CFC">
        <w:rPr>
          <w:szCs w:val="24"/>
          <w:lang w:val="fr-FR"/>
        </w:rPr>
        <w:t xml:space="preserve"> </w:t>
      </w:r>
      <w:r w:rsidRPr="00F012BC">
        <w:rPr>
          <w:szCs w:val="24"/>
          <w:lang w:val="fr-FR"/>
        </w:rPr>
        <w:t>Attestation</w:t>
      </w:r>
      <w:r w:rsidR="00F72CFC" w:rsidRPr="00F012BC">
        <w:rPr>
          <w:szCs w:val="24"/>
          <w:lang w:val="fr-FR"/>
        </w:rPr>
        <w:t xml:space="preserve"> de paiement</w:t>
      </w:r>
      <w:r w:rsidR="00F72CFC" w:rsidRPr="00F012BC">
        <w:rPr>
          <w:rFonts w:ascii="CG Times" w:hAnsi="CG Times"/>
          <w:szCs w:val="24"/>
          <w:lang w:val="fr-FR"/>
        </w:rPr>
        <w:t xml:space="preserve"> de la taxe parafiscale de régulation ;</w:t>
      </w:r>
    </w:p>
    <w:p w14:paraId="19DFB622" w14:textId="77777777" w:rsidR="00756466" w:rsidRPr="00756466" w:rsidRDefault="00756466" w:rsidP="00756466">
      <w:pPr>
        <w:widowControl/>
        <w:spacing w:after="200"/>
        <w:ind w:left="720"/>
        <w:jc w:val="both"/>
        <w:rPr>
          <w:szCs w:val="24"/>
          <w:lang w:val="fr-FR"/>
        </w:rPr>
      </w:pPr>
    </w:p>
    <w:p w14:paraId="5243CA4C" w14:textId="6805D13D" w:rsidR="00D43B06" w:rsidRPr="00F012BC" w:rsidRDefault="00BD38F6" w:rsidP="00D43B06">
      <w:pPr>
        <w:widowControl/>
        <w:numPr>
          <w:ilvl w:val="0"/>
          <w:numId w:val="6"/>
        </w:numPr>
        <w:spacing w:after="200"/>
        <w:jc w:val="both"/>
        <w:rPr>
          <w:szCs w:val="24"/>
          <w:lang w:val="fr-FR"/>
        </w:rPr>
      </w:pPr>
      <w:r w:rsidRPr="00F012BC">
        <w:rPr>
          <w:rFonts w:ascii="CG Times" w:hAnsi="CG Times"/>
          <w:szCs w:val="24"/>
          <w:lang w:val="fr-FR"/>
        </w:rPr>
        <w:t>Il est demandé aux candidats de fournir ces i</w:t>
      </w:r>
      <w:r w:rsidR="00CA5CA1" w:rsidRPr="00F012BC">
        <w:rPr>
          <w:rFonts w:ascii="CG Times" w:hAnsi="CG Times"/>
          <w:szCs w:val="24"/>
          <w:lang w:val="fr-FR"/>
        </w:rPr>
        <w:t xml:space="preserve">nformations </w:t>
      </w:r>
      <w:r w:rsidR="00F72CFC" w:rsidRPr="00F012BC">
        <w:rPr>
          <w:rFonts w:ascii="CG Times" w:hAnsi="CG Times"/>
          <w:szCs w:val="24"/>
          <w:lang w:val="fr-FR"/>
        </w:rPr>
        <w:t>de manière claire et succincte sur un maximum de</w:t>
      </w:r>
      <w:r w:rsidR="00CA5CA1" w:rsidRPr="00F012BC">
        <w:rPr>
          <w:rFonts w:ascii="CG Times" w:hAnsi="CG Times"/>
          <w:szCs w:val="24"/>
          <w:lang w:val="fr-FR"/>
        </w:rPr>
        <w:t xml:space="preserve"> </w:t>
      </w:r>
      <w:r w:rsidR="00756466">
        <w:rPr>
          <w:rFonts w:ascii="CG Times" w:hAnsi="CG Times"/>
          <w:szCs w:val="24"/>
          <w:lang w:val="fr-FR"/>
        </w:rPr>
        <w:t>50</w:t>
      </w:r>
      <w:r w:rsidR="00F72CFC" w:rsidRPr="00F012BC">
        <w:rPr>
          <w:rFonts w:ascii="CG Times" w:hAnsi="CG Times"/>
          <w:szCs w:val="24"/>
          <w:lang w:val="fr-FR"/>
        </w:rPr>
        <w:t>-</w:t>
      </w:r>
      <w:r w:rsidR="000630AE" w:rsidRPr="00F012BC">
        <w:rPr>
          <w:rFonts w:ascii="CG Times" w:hAnsi="CG Times"/>
          <w:szCs w:val="24"/>
          <w:lang w:val="fr-FR"/>
        </w:rPr>
        <w:t>7</w:t>
      </w:r>
      <w:r w:rsidR="00F72CFC" w:rsidRPr="00F012BC">
        <w:rPr>
          <w:rFonts w:ascii="CG Times" w:hAnsi="CG Times"/>
          <w:szCs w:val="24"/>
          <w:lang w:val="fr-FR"/>
        </w:rPr>
        <w:t>0 pages</w:t>
      </w:r>
      <w:r w:rsidRPr="00F012BC">
        <w:rPr>
          <w:rFonts w:ascii="CG Times" w:hAnsi="CG Times"/>
          <w:szCs w:val="24"/>
          <w:lang w:val="fr-FR"/>
        </w:rPr>
        <w:t xml:space="preserve">. </w:t>
      </w:r>
      <w:r w:rsidR="004C318F" w:rsidRPr="00F012BC">
        <w:rPr>
          <w:rFonts w:ascii="CG Times" w:hAnsi="CG Times"/>
          <w:szCs w:val="24"/>
          <w:lang w:val="fr-FR"/>
        </w:rPr>
        <w:t>Les c</w:t>
      </w:r>
      <w:r w:rsidR="00D43B06" w:rsidRPr="00F012BC">
        <w:rPr>
          <w:rFonts w:ascii="CG Times" w:hAnsi="CG Times"/>
          <w:szCs w:val="24"/>
          <w:lang w:val="fr-FR"/>
        </w:rPr>
        <w:t>andida</w:t>
      </w:r>
      <w:r w:rsidR="004C318F" w:rsidRPr="00F012BC">
        <w:rPr>
          <w:rFonts w:ascii="CG Times" w:hAnsi="CG Times"/>
          <w:szCs w:val="24"/>
          <w:lang w:val="fr-FR"/>
        </w:rPr>
        <w:t>ts peuvent s’associer pour renforcer leur</w:t>
      </w:r>
      <w:r w:rsidR="00D43B06" w:rsidRPr="00F012BC">
        <w:rPr>
          <w:rFonts w:ascii="CG Times" w:hAnsi="CG Times"/>
          <w:szCs w:val="24"/>
          <w:lang w:val="fr-FR"/>
        </w:rPr>
        <w:t>s</w:t>
      </w:r>
      <w:r w:rsidR="004C318F" w:rsidRPr="00F012BC">
        <w:rPr>
          <w:rFonts w:ascii="CG Times" w:hAnsi="CG Times"/>
          <w:szCs w:val="24"/>
          <w:lang w:val="fr-FR"/>
        </w:rPr>
        <w:t xml:space="preserve"> compétences respectives.</w:t>
      </w:r>
    </w:p>
    <w:p w14:paraId="0DB4A8D1" w14:textId="77777777" w:rsidR="00153E4A" w:rsidRPr="00F012BC" w:rsidRDefault="00153E4A" w:rsidP="00153E4A">
      <w:pPr>
        <w:widowControl/>
        <w:spacing w:after="200"/>
        <w:ind w:left="720"/>
        <w:jc w:val="both"/>
        <w:rPr>
          <w:rFonts w:ascii="CG Times" w:hAnsi="CG Times"/>
          <w:szCs w:val="24"/>
          <w:lang w:val="fr-FR"/>
        </w:rPr>
      </w:pPr>
      <w:r w:rsidRPr="00F012BC">
        <w:rPr>
          <w:rFonts w:ascii="CG Times" w:hAnsi="CG Times"/>
          <w:szCs w:val="24"/>
          <w:lang w:val="fr-FR"/>
        </w:rPr>
        <w:t>Si un candidat est constitué en Groupement, la Manifestation d’Intérêt doit inclure :</w:t>
      </w:r>
    </w:p>
    <w:p w14:paraId="66BD2048" w14:textId="7509FC8C" w:rsidR="00153E4A" w:rsidRPr="00F012BC" w:rsidRDefault="00756466" w:rsidP="00153E4A">
      <w:pPr>
        <w:widowControl/>
        <w:spacing w:after="200"/>
        <w:ind w:left="720"/>
        <w:jc w:val="both"/>
        <w:rPr>
          <w:rFonts w:ascii="CG Times" w:hAnsi="CG Times"/>
          <w:szCs w:val="24"/>
          <w:lang w:val="fr-FR"/>
        </w:rPr>
      </w:pPr>
      <w:r w:rsidRPr="00F012BC">
        <w:rPr>
          <w:rFonts w:ascii="CG Times" w:hAnsi="CG Times"/>
          <w:szCs w:val="24"/>
          <w:lang w:val="fr-FR"/>
        </w:rPr>
        <w:t>. Une</w:t>
      </w:r>
      <w:r w:rsidR="00153E4A" w:rsidRPr="00F012BC">
        <w:rPr>
          <w:rFonts w:ascii="CG Times" w:hAnsi="CG Times"/>
          <w:szCs w:val="24"/>
          <w:lang w:val="fr-FR"/>
        </w:rPr>
        <w:t xml:space="preserve"> copie de l’accord de Groupement conclu par l’ensemble de ses membres </w:t>
      </w:r>
      <w:proofErr w:type="gramStart"/>
      <w:r w:rsidR="00153E4A" w:rsidRPr="00F012BC">
        <w:rPr>
          <w:rFonts w:ascii="CG Times" w:hAnsi="CG Times"/>
          <w:szCs w:val="24"/>
          <w:lang w:val="fr-FR"/>
        </w:rPr>
        <w:t>ou</w:t>
      </w:r>
      <w:proofErr w:type="gramEnd"/>
    </w:p>
    <w:p w14:paraId="008C5981" w14:textId="458FD065" w:rsidR="00153E4A" w:rsidRPr="00F012BC" w:rsidRDefault="00756466" w:rsidP="00153E4A">
      <w:pPr>
        <w:widowControl/>
        <w:spacing w:after="200"/>
        <w:ind w:left="720"/>
        <w:jc w:val="both"/>
        <w:rPr>
          <w:szCs w:val="24"/>
          <w:lang w:val="fr-FR"/>
        </w:rPr>
      </w:pPr>
      <w:r w:rsidRPr="00F012BC">
        <w:rPr>
          <w:rFonts w:ascii="CG Times" w:hAnsi="CG Times"/>
          <w:szCs w:val="24"/>
          <w:lang w:val="fr-FR"/>
        </w:rPr>
        <w:t>. Une</w:t>
      </w:r>
      <w:r w:rsidR="00153E4A" w:rsidRPr="00F012BC">
        <w:rPr>
          <w:rFonts w:ascii="CG Times" w:hAnsi="CG Times"/>
          <w:szCs w:val="24"/>
          <w:lang w:val="fr-FR"/>
        </w:rPr>
        <w:t xml:space="preserve"> lettre d’intention de constituer un Groupement signée par tous ses membres et accompagnée d’une copie de l’accord de Groupement proposé</w:t>
      </w:r>
      <w:r w:rsidR="000B597B" w:rsidRPr="00F012BC">
        <w:rPr>
          <w:rFonts w:ascii="CG Times" w:hAnsi="CG Times"/>
          <w:szCs w:val="24"/>
          <w:lang w:val="fr-FR"/>
        </w:rPr>
        <w:t>. En l’absence de ce document, les autres membres seront considérés comme Sous-Traitants. Les références et qualifications des Sous-Traitants ne sont pas prises en compte dans l’évaluation des candidatures.</w:t>
      </w:r>
    </w:p>
    <w:p w14:paraId="23525A32" w14:textId="23595AC5" w:rsidR="00D43B06" w:rsidRPr="00756466" w:rsidRDefault="004C318F" w:rsidP="00D43B06">
      <w:pPr>
        <w:widowControl/>
        <w:numPr>
          <w:ilvl w:val="0"/>
          <w:numId w:val="6"/>
        </w:numPr>
        <w:spacing w:after="200"/>
        <w:jc w:val="both"/>
        <w:rPr>
          <w:szCs w:val="24"/>
          <w:lang w:val="fr-FR"/>
        </w:rPr>
      </w:pPr>
      <w:r w:rsidRPr="00756466">
        <w:rPr>
          <w:rFonts w:ascii="CG Times" w:hAnsi="CG Times"/>
          <w:szCs w:val="24"/>
          <w:lang w:val="fr-FR"/>
        </w:rPr>
        <w:t>Un</w:t>
      </w:r>
      <w:r w:rsidR="00D43B06" w:rsidRPr="00756466">
        <w:rPr>
          <w:rFonts w:ascii="CG Times" w:hAnsi="CG Times"/>
          <w:szCs w:val="24"/>
          <w:lang w:val="fr-FR"/>
        </w:rPr>
        <w:t xml:space="preserve">e liste </w:t>
      </w:r>
      <w:r w:rsidR="00153E4A" w:rsidRPr="00756466">
        <w:rPr>
          <w:rFonts w:ascii="CG Times" w:hAnsi="CG Times"/>
          <w:szCs w:val="24"/>
          <w:lang w:val="fr-FR"/>
        </w:rPr>
        <w:t xml:space="preserve">restreinte composée d’au plus six (06) soumissionnaires présentant au mieux les aptitudes requises pour exécuter la mission sera établie par l’Autorité Contractante ; ces soumissionnaires présélectionnés seront ensuite invités à présenter leur propositions techniques et financières et un soumissionnaire sera sélectionné selon la méthode : </w:t>
      </w:r>
      <w:r w:rsidR="00756466" w:rsidRPr="00756466">
        <w:rPr>
          <w:rFonts w:ascii="CG Times" w:hAnsi="CG Times"/>
          <w:szCs w:val="24"/>
          <w:lang w:val="fr-FR"/>
        </w:rPr>
        <w:t>sélection fondée</w:t>
      </w:r>
      <w:r w:rsidR="00153E4A" w:rsidRPr="00756466">
        <w:rPr>
          <w:rFonts w:ascii="CG Times" w:hAnsi="CG Times"/>
          <w:szCs w:val="24"/>
          <w:lang w:val="fr-FR"/>
        </w:rPr>
        <w:t xml:space="preserve"> sur la qualité et le coût.</w:t>
      </w:r>
    </w:p>
    <w:p w14:paraId="295AE9B6" w14:textId="77777777" w:rsidR="00D43B06" w:rsidRPr="00756466" w:rsidRDefault="004C318F" w:rsidP="00D43B06">
      <w:pPr>
        <w:widowControl/>
        <w:numPr>
          <w:ilvl w:val="0"/>
          <w:numId w:val="6"/>
        </w:numPr>
        <w:spacing w:after="200"/>
        <w:jc w:val="both"/>
        <w:rPr>
          <w:szCs w:val="24"/>
          <w:lang w:val="fr-FR"/>
        </w:rPr>
      </w:pPr>
      <w:r w:rsidRPr="00756466">
        <w:rPr>
          <w:rFonts w:ascii="CG Times" w:hAnsi="CG Times"/>
          <w:szCs w:val="24"/>
          <w:lang w:val="fr-FR"/>
        </w:rPr>
        <w:t xml:space="preserve">Les </w:t>
      </w:r>
      <w:r w:rsidR="00D43B06" w:rsidRPr="00756466">
        <w:rPr>
          <w:rFonts w:ascii="CG Times" w:hAnsi="CG Times"/>
          <w:szCs w:val="24"/>
          <w:lang w:val="fr-FR"/>
        </w:rPr>
        <w:t>candida</w:t>
      </w:r>
      <w:r w:rsidRPr="00756466">
        <w:rPr>
          <w:rFonts w:ascii="CG Times" w:hAnsi="CG Times"/>
          <w:szCs w:val="24"/>
          <w:lang w:val="fr-FR"/>
        </w:rPr>
        <w:t xml:space="preserve">ts intéressés peuvent obtenir des informations supplémentaires au sujet des documents de référence à l’adresse ci-dessous </w:t>
      </w:r>
      <w:r w:rsidR="000B597B" w:rsidRPr="00756466">
        <w:rPr>
          <w:rFonts w:ascii="CG Times" w:hAnsi="CG Times"/>
          <w:szCs w:val="24"/>
          <w:lang w:val="fr-FR"/>
        </w:rPr>
        <w:t>tous les jours ouvrables</w:t>
      </w:r>
      <w:r w:rsidRPr="00756466">
        <w:rPr>
          <w:rFonts w:ascii="CG Times" w:hAnsi="CG Times"/>
          <w:szCs w:val="24"/>
          <w:lang w:val="fr-FR"/>
        </w:rPr>
        <w:t xml:space="preserve"> </w:t>
      </w:r>
      <w:r w:rsidR="000B597B" w:rsidRPr="00756466">
        <w:rPr>
          <w:rFonts w:ascii="CG Times" w:hAnsi="CG Times"/>
          <w:szCs w:val="24"/>
          <w:lang w:val="fr-FR"/>
        </w:rPr>
        <w:t>de 08h 00 à 12h 00 et de 15h 00 à 17h 000</w:t>
      </w:r>
      <w:r w:rsidRPr="00756466">
        <w:rPr>
          <w:rFonts w:ascii="CG Times" w:hAnsi="CG Times"/>
          <w:szCs w:val="24"/>
          <w:lang w:val="fr-FR"/>
        </w:rPr>
        <w:t>.</w:t>
      </w:r>
    </w:p>
    <w:p w14:paraId="599E19EE" w14:textId="77777777" w:rsidR="000B597B" w:rsidRPr="00756466" w:rsidRDefault="000B597B" w:rsidP="000B597B">
      <w:pPr>
        <w:widowControl/>
        <w:spacing w:after="200"/>
        <w:ind w:left="720"/>
        <w:jc w:val="both"/>
        <w:rPr>
          <w:rFonts w:ascii="CG Times" w:hAnsi="CG Times"/>
          <w:b/>
          <w:szCs w:val="24"/>
          <w:lang w:val="fr-FR"/>
        </w:rPr>
      </w:pPr>
      <w:r w:rsidRPr="00756466">
        <w:rPr>
          <w:rFonts w:ascii="CG Times" w:hAnsi="CG Times"/>
          <w:b/>
          <w:szCs w:val="24"/>
          <w:lang w:val="fr-FR"/>
        </w:rPr>
        <w:t>Ministère de l’Economie et des Finances</w:t>
      </w:r>
    </w:p>
    <w:p w14:paraId="2155AC72" w14:textId="77777777" w:rsidR="000B597B" w:rsidRPr="00756466" w:rsidRDefault="000B597B" w:rsidP="000B597B">
      <w:pPr>
        <w:widowControl/>
        <w:spacing w:after="200"/>
        <w:ind w:left="720"/>
        <w:jc w:val="both"/>
        <w:rPr>
          <w:b/>
          <w:szCs w:val="24"/>
          <w:lang w:val="fr-FR"/>
        </w:rPr>
      </w:pPr>
      <w:r w:rsidRPr="00756466">
        <w:rPr>
          <w:rFonts w:ascii="CG Times" w:hAnsi="CG Times"/>
          <w:b/>
          <w:szCs w:val="24"/>
          <w:lang w:val="fr-FR"/>
        </w:rPr>
        <w:t>Personne Responsable des marchés Publics (PRMP), 2</w:t>
      </w:r>
      <w:r w:rsidRPr="00756466">
        <w:rPr>
          <w:rFonts w:ascii="CG Times" w:hAnsi="CG Times"/>
          <w:b/>
          <w:szCs w:val="24"/>
          <w:vertAlign w:val="superscript"/>
          <w:lang w:val="fr-FR"/>
        </w:rPr>
        <w:t>ème</w:t>
      </w:r>
      <w:r w:rsidRPr="00756466">
        <w:rPr>
          <w:rFonts w:ascii="CG Times" w:hAnsi="CG Times"/>
          <w:b/>
          <w:szCs w:val="24"/>
          <w:lang w:val="fr-FR"/>
        </w:rPr>
        <w:t xml:space="preserve"> étage, Porte 02 bis de l’immeuble de la Direction du Matériel et de Transit Administratif, Tél : 22 21 22 66 ou 22 21 22 67.</w:t>
      </w:r>
    </w:p>
    <w:p w14:paraId="6EC55FA3" w14:textId="622D1565" w:rsidR="00D43B06" w:rsidRPr="00756466" w:rsidRDefault="00D43B06" w:rsidP="00D43B06">
      <w:pPr>
        <w:widowControl/>
        <w:numPr>
          <w:ilvl w:val="0"/>
          <w:numId w:val="6"/>
        </w:numPr>
        <w:spacing w:after="200"/>
        <w:jc w:val="both"/>
        <w:rPr>
          <w:szCs w:val="24"/>
          <w:lang w:val="fr-FR"/>
        </w:rPr>
      </w:pPr>
      <w:r w:rsidRPr="00756466">
        <w:rPr>
          <w:rFonts w:ascii="CG Times" w:hAnsi="CG Times"/>
          <w:szCs w:val="24"/>
          <w:lang w:val="fr-FR"/>
        </w:rPr>
        <w:t>Les manifestations d’intérêt doivent être déposées à l’adresse ci-</w:t>
      </w:r>
      <w:r w:rsidR="000B597B" w:rsidRPr="00756466">
        <w:rPr>
          <w:rFonts w:ascii="CG Times" w:hAnsi="CG Times"/>
          <w:szCs w:val="24"/>
          <w:lang w:val="fr-FR"/>
        </w:rPr>
        <w:t>dessus</w:t>
      </w:r>
      <w:r w:rsidRPr="00756466">
        <w:rPr>
          <w:rFonts w:ascii="CG Times" w:hAnsi="CG Times"/>
          <w:szCs w:val="24"/>
          <w:lang w:val="fr-FR"/>
        </w:rPr>
        <w:t xml:space="preserve"> </w:t>
      </w:r>
      <w:r w:rsidR="00E4579C" w:rsidRPr="00756466">
        <w:rPr>
          <w:rFonts w:ascii="CG Times" w:hAnsi="CG Times"/>
          <w:szCs w:val="24"/>
          <w:lang w:val="fr-FR"/>
        </w:rPr>
        <w:t>en un original et trois (03) copiés</w:t>
      </w:r>
      <w:r w:rsidRPr="00756466">
        <w:rPr>
          <w:rFonts w:ascii="CG Times" w:hAnsi="CG Times"/>
          <w:i/>
          <w:szCs w:val="24"/>
          <w:lang w:val="fr-FR"/>
        </w:rPr>
        <w:t xml:space="preserve"> </w:t>
      </w:r>
      <w:r w:rsidR="00E4579C" w:rsidRPr="00756466">
        <w:rPr>
          <w:rFonts w:ascii="CG Times" w:hAnsi="CG Times"/>
          <w:szCs w:val="24"/>
          <w:lang w:val="fr-FR"/>
        </w:rPr>
        <w:t>physiques et une version électronique (CD ou clé USB) rédigées en français, et déposées sous plis fermés en la même adresse au</w:t>
      </w:r>
      <w:r w:rsidRPr="00756466">
        <w:rPr>
          <w:rFonts w:ascii="CG Times" w:hAnsi="CG Times"/>
          <w:szCs w:val="24"/>
          <w:lang w:val="fr-FR"/>
        </w:rPr>
        <w:t xml:space="preserve"> plus tard le </w:t>
      </w:r>
      <w:r w:rsidR="00B65284" w:rsidRPr="00B65284">
        <w:rPr>
          <w:rFonts w:ascii="CG Times" w:hAnsi="CG Times"/>
          <w:b/>
          <w:szCs w:val="24"/>
          <w:lang w:val="fr-FR"/>
        </w:rPr>
        <w:t>27 décembre 2024</w:t>
      </w:r>
      <w:r w:rsidR="00E4579C" w:rsidRPr="00B65284">
        <w:rPr>
          <w:rFonts w:ascii="CG Times" w:hAnsi="CG Times"/>
          <w:b/>
          <w:szCs w:val="24"/>
          <w:lang w:val="fr-FR"/>
        </w:rPr>
        <w:t xml:space="preserve"> à 9H 00 TU</w:t>
      </w:r>
      <w:r w:rsidRPr="00756466">
        <w:rPr>
          <w:rFonts w:ascii="CG Times" w:hAnsi="CG Times"/>
          <w:i/>
          <w:szCs w:val="24"/>
          <w:lang w:val="fr-FR"/>
        </w:rPr>
        <w:t>.</w:t>
      </w:r>
    </w:p>
    <w:p w14:paraId="24F2E255" w14:textId="77777777" w:rsidR="002B1E70" w:rsidRPr="00756466" w:rsidRDefault="002B1E70" w:rsidP="002B1E70">
      <w:pPr>
        <w:pStyle w:val="Header1"/>
        <w:widowControl/>
        <w:ind w:left="720"/>
        <w:jc w:val="left"/>
        <w:outlineLvl w:val="0"/>
        <w:rPr>
          <w:rFonts w:ascii="CG Times" w:hAnsi="CG Times"/>
          <w:b w:val="0"/>
          <w:smallCaps w:val="0"/>
          <w:sz w:val="24"/>
          <w:szCs w:val="24"/>
          <w:lang w:val="fr-FR"/>
        </w:rPr>
      </w:pPr>
      <w:r w:rsidRPr="00756466">
        <w:rPr>
          <w:rFonts w:ascii="CG Times" w:hAnsi="CG Times"/>
          <w:b w:val="0"/>
          <w:smallCaps w:val="0"/>
          <w:sz w:val="24"/>
          <w:szCs w:val="24"/>
          <w:lang w:val="fr-FR"/>
        </w:rPr>
        <w:t>Les enveloppes fermées devront porter la mention suivante :</w:t>
      </w:r>
    </w:p>
    <w:p w14:paraId="14E1A2EF" w14:textId="77777777" w:rsidR="002B1E70" w:rsidRPr="00756466" w:rsidRDefault="002B1E70" w:rsidP="002B1E70">
      <w:pPr>
        <w:pStyle w:val="Header1"/>
        <w:widowControl/>
        <w:ind w:left="720"/>
        <w:jc w:val="left"/>
        <w:outlineLvl w:val="0"/>
        <w:rPr>
          <w:rFonts w:ascii="CG Times" w:hAnsi="CG Times"/>
          <w:b w:val="0"/>
          <w:smallCaps w:val="0"/>
          <w:sz w:val="24"/>
          <w:szCs w:val="24"/>
          <w:lang w:val="fr-FR"/>
        </w:rPr>
      </w:pPr>
      <w:r w:rsidRPr="00756466">
        <w:rPr>
          <w:rFonts w:ascii="CG Times" w:hAnsi="CG Times"/>
          <w:b w:val="0"/>
          <w:smallCaps w:val="0"/>
          <w:sz w:val="24"/>
          <w:szCs w:val="24"/>
          <w:lang w:val="fr-FR"/>
        </w:rPr>
        <w:t xml:space="preserve">    A l’attention de la Personne Responsable des Marchés Publics,</w:t>
      </w:r>
    </w:p>
    <w:p w14:paraId="2F346C50" w14:textId="77777777" w:rsidR="002B1E70" w:rsidRPr="00756466" w:rsidRDefault="002B1E70" w:rsidP="002B1E70">
      <w:pPr>
        <w:pStyle w:val="Header1"/>
        <w:widowControl/>
        <w:ind w:left="720"/>
        <w:jc w:val="left"/>
        <w:outlineLvl w:val="0"/>
        <w:rPr>
          <w:rFonts w:ascii="CG Times" w:hAnsi="CG Times"/>
          <w:b w:val="0"/>
          <w:smallCaps w:val="0"/>
          <w:sz w:val="24"/>
          <w:szCs w:val="24"/>
          <w:lang w:val="fr-FR"/>
        </w:rPr>
      </w:pPr>
      <w:r w:rsidRPr="00756466">
        <w:rPr>
          <w:rFonts w:ascii="CG Times" w:hAnsi="CG Times"/>
          <w:b w:val="0"/>
          <w:smallCaps w:val="0"/>
          <w:sz w:val="24"/>
          <w:szCs w:val="24"/>
          <w:lang w:val="fr-FR"/>
        </w:rPr>
        <w:lastRenderedPageBreak/>
        <w:t>« Manifestation d’intérêt pour le recrutement d’un cabinet pour la rédaction de la stratégie de développement du secteur des assurances au Togo »</w:t>
      </w:r>
    </w:p>
    <w:p w14:paraId="092C0977" w14:textId="77777777" w:rsidR="002B1E70" w:rsidRPr="00756466" w:rsidRDefault="002B1E70" w:rsidP="002B1E70">
      <w:pPr>
        <w:pStyle w:val="Header1"/>
        <w:widowControl/>
        <w:ind w:left="720"/>
        <w:jc w:val="left"/>
        <w:outlineLvl w:val="0"/>
        <w:rPr>
          <w:rFonts w:ascii="CG Times" w:hAnsi="CG Times"/>
          <w:b w:val="0"/>
          <w:smallCaps w:val="0"/>
          <w:sz w:val="24"/>
          <w:szCs w:val="24"/>
          <w:lang w:val="fr-FR"/>
        </w:rPr>
      </w:pPr>
    </w:p>
    <w:p w14:paraId="7973C9E2" w14:textId="77777777" w:rsidR="002B1E70" w:rsidRPr="00756466" w:rsidRDefault="002B1E70" w:rsidP="002B1E70">
      <w:pPr>
        <w:pStyle w:val="Header1"/>
        <w:widowControl/>
        <w:ind w:left="720"/>
        <w:outlineLvl w:val="0"/>
        <w:rPr>
          <w:rFonts w:ascii="CG Times" w:hAnsi="CG Times"/>
          <w:b w:val="0"/>
          <w:smallCaps w:val="0"/>
          <w:sz w:val="24"/>
          <w:szCs w:val="24"/>
          <w:lang w:val="fr-FR"/>
        </w:rPr>
      </w:pPr>
      <w:r w:rsidRPr="00756466">
        <w:rPr>
          <w:rFonts w:ascii="CG Times" w:hAnsi="CG Times"/>
          <w:b w:val="0"/>
          <w:smallCaps w:val="0"/>
          <w:sz w:val="24"/>
          <w:szCs w:val="24"/>
          <w:lang w:val="fr-FR"/>
        </w:rPr>
        <w:t>« A N’OUVRIR QU’EN SEANCE D’OUVERTURE DES PLIS »</w:t>
      </w:r>
    </w:p>
    <w:p w14:paraId="6A14D105" w14:textId="77777777" w:rsidR="002B1E70" w:rsidRPr="00756466" w:rsidRDefault="002B1E70" w:rsidP="002B1E70">
      <w:pPr>
        <w:widowControl/>
        <w:spacing w:after="200"/>
        <w:ind w:left="720"/>
        <w:jc w:val="both"/>
        <w:rPr>
          <w:szCs w:val="24"/>
          <w:lang w:val="fr-FR"/>
        </w:rPr>
      </w:pPr>
    </w:p>
    <w:p w14:paraId="3BA398A4" w14:textId="17093049" w:rsidR="002B1E70" w:rsidRDefault="002B1E70" w:rsidP="00D43B06">
      <w:pPr>
        <w:widowControl/>
        <w:numPr>
          <w:ilvl w:val="0"/>
          <w:numId w:val="6"/>
        </w:numPr>
        <w:spacing w:after="200"/>
        <w:jc w:val="both"/>
        <w:rPr>
          <w:szCs w:val="24"/>
          <w:lang w:val="fr-FR"/>
        </w:rPr>
      </w:pPr>
      <w:r w:rsidRPr="00756466">
        <w:rPr>
          <w:szCs w:val="24"/>
          <w:lang w:val="fr-FR"/>
        </w:rPr>
        <w:t>Les manifestations d’intérêt seront ouvertes en présence des soumissionnaires ou de leur</w:t>
      </w:r>
      <w:r w:rsidR="003D3EA4" w:rsidRPr="00756466">
        <w:rPr>
          <w:szCs w:val="24"/>
          <w:lang w:val="fr-FR"/>
        </w:rPr>
        <w:t>s</w:t>
      </w:r>
      <w:r w:rsidRPr="00756466">
        <w:rPr>
          <w:szCs w:val="24"/>
          <w:lang w:val="fr-FR"/>
        </w:rPr>
        <w:t xml:space="preserve"> représentants qui souhaitent assister le même jour à 9 heures 30 minutes d</w:t>
      </w:r>
      <w:r w:rsidR="007419A5">
        <w:rPr>
          <w:szCs w:val="24"/>
          <w:lang w:val="fr-FR"/>
        </w:rPr>
        <w:t xml:space="preserve">ans la salle de délibération de la </w:t>
      </w:r>
      <w:r w:rsidR="007419A5">
        <w:rPr>
          <w:b/>
          <w:szCs w:val="24"/>
          <w:lang w:val="fr-FR"/>
        </w:rPr>
        <w:t>DMTA</w:t>
      </w:r>
      <w:r w:rsidRPr="00756466">
        <w:rPr>
          <w:szCs w:val="24"/>
          <w:lang w:val="fr-FR"/>
        </w:rPr>
        <w:t xml:space="preserve"> à l’adresse ci-dessus mentionnées.</w:t>
      </w:r>
    </w:p>
    <w:p w14:paraId="750E95AE" w14:textId="2F6AAD44" w:rsidR="000228CD" w:rsidRPr="00756466" w:rsidRDefault="000228CD" w:rsidP="000228CD">
      <w:pPr>
        <w:widowControl/>
        <w:numPr>
          <w:ilvl w:val="0"/>
          <w:numId w:val="6"/>
        </w:numPr>
        <w:spacing w:after="200"/>
        <w:jc w:val="both"/>
        <w:rPr>
          <w:szCs w:val="24"/>
          <w:lang w:val="fr-FR"/>
        </w:rPr>
      </w:pPr>
      <w:r>
        <w:rPr>
          <w:szCs w:val="24"/>
          <w:lang w:val="fr-FR"/>
        </w:rPr>
        <w:t xml:space="preserve">Les soumissionnaires sont informés que leurs propositions financières doivent être élaborées dans le respect des prix contenus dans la dernière version du répertoire des prix référence (mercuriale des prix), disponible sur le site du Ministère de l’Economie et des Finances au </w:t>
      </w:r>
      <w:hyperlink r:id="rId9" w:history="1">
        <w:r w:rsidRPr="00A95CCE">
          <w:rPr>
            <w:rStyle w:val="Lienhypertexte"/>
            <w:szCs w:val="24"/>
            <w:lang w:val="fr-FR"/>
          </w:rPr>
          <w:t>https://finances.goov.tg</w:t>
        </w:r>
      </w:hyperlink>
      <w:r>
        <w:rPr>
          <w:szCs w:val="24"/>
          <w:lang w:val="fr-FR"/>
        </w:rPr>
        <w:t>. Dans le cas contraire, leurs proposi</w:t>
      </w:r>
      <w:r w:rsidR="004A1BE0">
        <w:rPr>
          <w:szCs w:val="24"/>
          <w:lang w:val="fr-FR"/>
        </w:rPr>
        <w:t>ti</w:t>
      </w:r>
      <w:r>
        <w:rPr>
          <w:szCs w:val="24"/>
          <w:lang w:val="fr-FR"/>
        </w:rPr>
        <w:t>ons seront redressées.</w:t>
      </w:r>
    </w:p>
    <w:p w14:paraId="0E238DAB" w14:textId="77777777" w:rsidR="0093503A" w:rsidRPr="00756466" w:rsidRDefault="0093503A" w:rsidP="002B1E70">
      <w:pPr>
        <w:widowControl/>
        <w:spacing w:after="200"/>
        <w:ind w:left="720"/>
        <w:jc w:val="both"/>
        <w:rPr>
          <w:szCs w:val="24"/>
          <w:lang w:val="fr-FR"/>
        </w:rPr>
      </w:pPr>
    </w:p>
    <w:p w14:paraId="04FE948B" w14:textId="77777777" w:rsidR="0093503A" w:rsidRPr="00756466" w:rsidRDefault="0093503A" w:rsidP="002B1E70">
      <w:pPr>
        <w:widowControl/>
        <w:spacing w:after="200"/>
        <w:ind w:left="720"/>
        <w:jc w:val="both"/>
        <w:rPr>
          <w:szCs w:val="24"/>
          <w:lang w:val="fr-FR"/>
        </w:rPr>
      </w:pPr>
    </w:p>
    <w:p w14:paraId="35954D8C" w14:textId="77777777" w:rsidR="0093503A" w:rsidRPr="00756466" w:rsidRDefault="0093503A" w:rsidP="002B1E70">
      <w:pPr>
        <w:widowControl/>
        <w:spacing w:after="200"/>
        <w:ind w:left="720"/>
        <w:jc w:val="both"/>
        <w:rPr>
          <w:szCs w:val="24"/>
          <w:lang w:val="fr-FR"/>
        </w:rPr>
      </w:pPr>
      <w:r w:rsidRPr="00756466">
        <w:rPr>
          <w:szCs w:val="24"/>
          <w:lang w:val="fr-FR"/>
        </w:rPr>
        <w:t xml:space="preserve">                                          La personne Responsable des Marchés Publics</w:t>
      </w:r>
      <w:r w:rsidR="002B1E70" w:rsidRPr="00756466">
        <w:rPr>
          <w:szCs w:val="24"/>
          <w:lang w:val="fr-FR"/>
        </w:rPr>
        <w:t xml:space="preserve">   </w:t>
      </w:r>
    </w:p>
    <w:p w14:paraId="3BCCBE6A" w14:textId="77777777" w:rsidR="0093503A" w:rsidRPr="00756466" w:rsidRDefault="0093503A" w:rsidP="002B1E70">
      <w:pPr>
        <w:widowControl/>
        <w:spacing w:after="200"/>
        <w:ind w:left="720"/>
        <w:jc w:val="both"/>
        <w:rPr>
          <w:szCs w:val="24"/>
          <w:lang w:val="fr-FR"/>
        </w:rPr>
      </w:pPr>
    </w:p>
    <w:p w14:paraId="38B1B815" w14:textId="77777777" w:rsidR="0093503A" w:rsidRPr="00756466" w:rsidRDefault="0093503A" w:rsidP="002B1E70">
      <w:pPr>
        <w:widowControl/>
        <w:spacing w:after="200"/>
        <w:ind w:left="720"/>
        <w:jc w:val="both"/>
        <w:rPr>
          <w:szCs w:val="24"/>
          <w:lang w:val="fr-FR"/>
        </w:rPr>
      </w:pPr>
    </w:p>
    <w:p w14:paraId="14EFD3B9" w14:textId="77777777" w:rsidR="002B1E70" w:rsidRPr="00756466" w:rsidRDefault="0093503A" w:rsidP="002B1E70">
      <w:pPr>
        <w:widowControl/>
        <w:spacing w:after="200"/>
        <w:ind w:left="720"/>
        <w:jc w:val="both"/>
        <w:rPr>
          <w:b/>
          <w:szCs w:val="24"/>
          <w:u w:val="single"/>
          <w:lang w:val="fr-FR"/>
        </w:rPr>
      </w:pPr>
      <w:r w:rsidRPr="00756466">
        <w:rPr>
          <w:szCs w:val="24"/>
          <w:lang w:val="fr-FR"/>
        </w:rPr>
        <w:t xml:space="preserve">                                         </w:t>
      </w:r>
      <w:r w:rsidRPr="00756466">
        <w:rPr>
          <w:b/>
          <w:szCs w:val="24"/>
          <w:u w:val="single"/>
          <w:lang w:val="fr-FR"/>
        </w:rPr>
        <w:t xml:space="preserve">Koffi </w:t>
      </w:r>
      <w:proofErr w:type="spellStart"/>
      <w:r w:rsidRPr="00756466">
        <w:rPr>
          <w:b/>
          <w:szCs w:val="24"/>
          <w:u w:val="single"/>
          <w:lang w:val="fr-FR"/>
        </w:rPr>
        <w:t>Mawuéna</w:t>
      </w:r>
      <w:proofErr w:type="spellEnd"/>
      <w:r w:rsidRPr="00756466">
        <w:rPr>
          <w:b/>
          <w:szCs w:val="24"/>
          <w:u w:val="single"/>
          <w:lang w:val="fr-FR"/>
        </w:rPr>
        <w:t xml:space="preserve"> AMEGAVI</w:t>
      </w:r>
    </w:p>
    <w:sectPr w:rsidR="002B1E70" w:rsidRPr="00756466" w:rsidSect="00832845">
      <w:headerReference w:type="even" r:id="rId10"/>
      <w:headerReference w:type="default" r:id="rId11"/>
      <w:headerReference w:type="first" r:id="rId12"/>
      <w:footnotePr>
        <w:numRestart w:val="eachSect"/>
      </w:footnotePr>
      <w:endnotePr>
        <w:numFmt w:val="decimal"/>
      </w:endnotePr>
      <w:pgSz w:w="12240" w:h="15840"/>
      <w:pgMar w:top="1440" w:right="144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A5F05" w14:textId="77777777" w:rsidR="00317E5E" w:rsidRDefault="00317E5E">
      <w:r>
        <w:separator/>
      </w:r>
    </w:p>
  </w:endnote>
  <w:endnote w:type="continuationSeparator" w:id="0">
    <w:p w14:paraId="30A0A2F2" w14:textId="77777777" w:rsidR="00317E5E" w:rsidRDefault="0031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5280C" w14:textId="77777777" w:rsidR="00317E5E" w:rsidRDefault="00317E5E">
      <w:r>
        <w:separator/>
      </w:r>
    </w:p>
  </w:footnote>
  <w:footnote w:type="continuationSeparator" w:id="0">
    <w:p w14:paraId="3C683DCA" w14:textId="77777777" w:rsidR="00317E5E" w:rsidRDefault="00317E5E">
      <w:r>
        <w:continuationSeparator/>
      </w:r>
    </w:p>
  </w:footnote>
  <w:footnote w:id="1">
    <w:p w14:paraId="147C921E" w14:textId="3CA8F5C4" w:rsidR="002B1E70" w:rsidRPr="006A0B66" w:rsidRDefault="002B1E70" w:rsidP="006A0B66">
      <w:pPr>
        <w:pStyle w:val="Notedebasdepage"/>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32D16" w14:textId="6098E669" w:rsidR="002B1E70" w:rsidRDefault="002B1E70" w:rsidP="0030085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D4590A">
      <w:rPr>
        <w:rStyle w:val="Numrodepage"/>
        <w:noProof/>
      </w:rPr>
      <w:t>2</w:t>
    </w:r>
    <w:r>
      <w:rPr>
        <w:rStyle w:val="Numrodepage"/>
      </w:rPr>
      <w:fldChar w:fldCharType="end"/>
    </w:r>
  </w:p>
  <w:p w14:paraId="33558880" w14:textId="77777777" w:rsidR="002B1E70" w:rsidRDefault="002B1E70" w:rsidP="0065785C">
    <w:pPr>
      <w:pStyle w:val="En-t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EBF03" w14:textId="0E9396A1" w:rsidR="002B1E70" w:rsidRDefault="002B1E70" w:rsidP="0030085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F2557">
      <w:rPr>
        <w:rStyle w:val="Numrodepage"/>
        <w:noProof/>
      </w:rPr>
      <w:t>3</w:t>
    </w:r>
    <w:r>
      <w:rPr>
        <w:rStyle w:val="Numrodepage"/>
      </w:rPr>
      <w:fldChar w:fldCharType="end"/>
    </w:r>
  </w:p>
  <w:p w14:paraId="50F28811" w14:textId="77777777" w:rsidR="002B1E70" w:rsidRDefault="002B1E70" w:rsidP="0065785C">
    <w:pPr>
      <w:pStyle w:val="En-t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56E8" w14:textId="77777777" w:rsidR="002B1E70" w:rsidRPr="0065785C" w:rsidRDefault="002B1E70" w:rsidP="0065785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0EE"/>
    <w:multiLevelType w:val="hybridMultilevel"/>
    <w:tmpl w:val="77625E78"/>
    <w:lvl w:ilvl="0" w:tplc="AED8266C">
      <w:numFmt w:val="bullet"/>
      <w:lvlText w:val=""/>
      <w:lvlJc w:val="left"/>
      <w:pPr>
        <w:ind w:left="1080" w:hanging="360"/>
      </w:pPr>
      <w:rPr>
        <w:rFonts w:ascii="Symbol" w:eastAsia="Times New Roman" w:hAnsi="Symbol" w:cs="Times New Roman" w:hint="default"/>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89D16B3"/>
    <w:multiLevelType w:val="singleLevel"/>
    <w:tmpl w:val="58426126"/>
    <w:lvl w:ilvl="0">
      <w:start w:val="1"/>
      <w:numFmt w:val="lowerLetter"/>
      <w:lvlText w:val="%1)"/>
      <w:lvlJc w:val="left"/>
      <w:pPr>
        <w:tabs>
          <w:tab w:val="num" w:pos="1440"/>
        </w:tabs>
        <w:ind w:left="1440" w:hanging="720"/>
      </w:pPr>
    </w:lvl>
  </w:abstractNum>
  <w:abstractNum w:abstractNumId="2" w15:restartNumberingAfterBreak="0">
    <w:nsid w:val="136073EF"/>
    <w:multiLevelType w:val="hybridMultilevel"/>
    <w:tmpl w:val="AC8CF570"/>
    <w:lvl w:ilvl="0" w:tplc="383E3466">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95259FB"/>
    <w:multiLevelType w:val="singleLevel"/>
    <w:tmpl w:val="584002B0"/>
    <w:lvl w:ilvl="0">
      <w:start w:val="1"/>
      <w:numFmt w:val="decimal"/>
      <w:lvlText w:val="%1."/>
      <w:lvlJc w:val="left"/>
      <w:pPr>
        <w:tabs>
          <w:tab w:val="num" w:pos="720"/>
        </w:tabs>
        <w:ind w:left="720" w:hanging="720"/>
      </w:pPr>
      <w:rPr>
        <w:rFonts w:hint="default"/>
      </w:rPr>
    </w:lvl>
  </w:abstractNum>
  <w:abstractNum w:abstractNumId="4"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423D665E"/>
    <w:multiLevelType w:val="multilevel"/>
    <w:tmpl w:val="071AE9EE"/>
    <w:lvl w:ilvl="0">
      <w:start w:val="1"/>
      <w:numFmt w:val="decimal"/>
      <w:pStyle w:val="Head12"/>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65F7FD3"/>
    <w:multiLevelType w:val="singleLevel"/>
    <w:tmpl w:val="4BDA6844"/>
    <w:lvl w:ilvl="0">
      <w:start w:val="1"/>
      <w:numFmt w:val="lowerRoman"/>
      <w:lvlText w:val="%1)"/>
      <w:lvlJc w:val="left"/>
      <w:pPr>
        <w:tabs>
          <w:tab w:val="num" w:pos="2160"/>
        </w:tabs>
        <w:ind w:left="2160" w:hanging="720"/>
      </w:pPr>
    </w:lvl>
  </w:abstractNum>
  <w:abstractNum w:abstractNumId="7" w15:restartNumberingAfterBreak="0">
    <w:nsid w:val="47DC7D6C"/>
    <w:multiLevelType w:val="hybridMultilevel"/>
    <w:tmpl w:val="B524BA6A"/>
    <w:lvl w:ilvl="0" w:tplc="C2A4BB0E">
      <w:start w:val="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4C563CA4"/>
    <w:multiLevelType w:val="singleLevel"/>
    <w:tmpl w:val="4BDA6844"/>
    <w:lvl w:ilvl="0">
      <w:start w:val="1"/>
      <w:numFmt w:val="lowerRoman"/>
      <w:lvlText w:val="%1)"/>
      <w:lvlJc w:val="left"/>
      <w:pPr>
        <w:tabs>
          <w:tab w:val="num" w:pos="2160"/>
        </w:tabs>
        <w:ind w:left="2160" w:hanging="720"/>
      </w:pPr>
    </w:lvl>
  </w:abstractNum>
  <w:abstractNum w:abstractNumId="9" w15:restartNumberingAfterBreak="0">
    <w:nsid w:val="61EE3E5D"/>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634A60E9"/>
    <w:multiLevelType w:val="hybridMultilevel"/>
    <w:tmpl w:val="05A2775C"/>
    <w:lvl w:ilvl="0" w:tplc="FFFFFFFF">
      <w:start w:val="1"/>
      <w:numFmt w:val="decimal"/>
      <w:lvlText w:val="%1."/>
      <w:lvlJc w:val="left"/>
      <w:pPr>
        <w:tabs>
          <w:tab w:val="num" w:pos="720"/>
        </w:tabs>
        <w:ind w:left="720" w:hanging="720"/>
      </w:pPr>
      <w:rPr>
        <w:rFonts w:hint="default"/>
        <w:b w:val="0"/>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72ED400D"/>
    <w:multiLevelType w:val="singleLevel"/>
    <w:tmpl w:val="21AAC164"/>
    <w:lvl w:ilvl="0">
      <w:start w:val="1"/>
      <w:numFmt w:val="lowerRoman"/>
      <w:lvlText w:val="%1)"/>
      <w:lvlJc w:val="left"/>
      <w:pPr>
        <w:tabs>
          <w:tab w:val="num" w:pos="720"/>
        </w:tabs>
        <w:ind w:left="360" w:hanging="360"/>
      </w:pPr>
    </w:lvl>
  </w:abstractNum>
  <w:abstractNum w:abstractNumId="12"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num w:numId="1">
    <w:abstractNumId w:val="4"/>
  </w:num>
  <w:num w:numId="2">
    <w:abstractNumId w:val="12"/>
  </w:num>
  <w:num w:numId="3">
    <w:abstractNumId w:val="9"/>
  </w:num>
  <w:num w:numId="4">
    <w:abstractNumId w:val="11"/>
  </w:num>
  <w:num w:numId="5">
    <w:abstractNumId w:val="3"/>
  </w:num>
  <w:num w:numId="6">
    <w:abstractNumId w:val="10"/>
  </w:num>
  <w:num w:numId="7">
    <w:abstractNumId w:val="5"/>
  </w:num>
  <w:num w:numId="8">
    <w:abstractNumId w:val="2"/>
  </w:num>
  <w:num w:numId="9">
    <w:abstractNumId w:val="1"/>
  </w:num>
  <w:num w:numId="10">
    <w:abstractNumId w:val="8"/>
  </w:num>
  <w:num w:numId="11">
    <w:abstractNumId w:val="6"/>
  </w:num>
  <w:num w:numId="12">
    <w:abstractNumId w:val="7"/>
  </w:num>
  <w:num w:numId="1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mirrorMargins/>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C02"/>
    <w:rsid w:val="000142C5"/>
    <w:rsid w:val="000228CD"/>
    <w:rsid w:val="000362F9"/>
    <w:rsid w:val="0004544F"/>
    <w:rsid w:val="00051E46"/>
    <w:rsid w:val="00055363"/>
    <w:rsid w:val="000630AE"/>
    <w:rsid w:val="00066696"/>
    <w:rsid w:val="00071858"/>
    <w:rsid w:val="00085702"/>
    <w:rsid w:val="000A1471"/>
    <w:rsid w:val="000A6DE2"/>
    <w:rsid w:val="000B597B"/>
    <w:rsid w:val="000D202D"/>
    <w:rsid w:val="000D28E2"/>
    <w:rsid w:val="001314B1"/>
    <w:rsid w:val="00135C63"/>
    <w:rsid w:val="00152F15"/>
    <w:rsid w:val="00153E4A"/>
    <w:rsid w:val="00183863"/>
    <w:rsid w:val="001B1D15"/>
    <w:rsid w:val="001E19AF"/>
    <w:rsid w:val="00231B71"/>
    <w:rsid w:val="002511AF"/>
    <w:rsid w:val="0025634F"/>
    <w:rsid w:val="00266EF6"/>
    <w:rsid w:val="00271AE3"/>
    <w:rsid w:val="002B1E70"/>
    <w:rsid w:val="002B240D"/>
    <w:rsid w:val="002B4FDF"/>
    <w:rsid w:val="002B7E63"/>
    <w:rsid w:val="002E0C27"/>
    <w:rsid w:val="002F5457"/>
    <w:rsid w:val="002F6D0A"/>
    <w:rsid w:val="00300853"/>
    <w:rsid w:val="00300E7D"/>
    <w:rsid w:val="003101D0"/>
    <w:rsid w:val="00317E5E"/>
    <w:rsid w:val="0032239A"/>
    <w:rsid w:val="0033796B"/>
    <w:rsid w:val="00350EA0"/>
    <w:rsid w:val="00356DEC"/>
    <w:rsid w:val="00356F1D"/>
    <w:rsid w:val="003749A8"/>
    <w:rsid w:val="00374C59"/>
    <w:rsid w:val="0037720E"/>
    <w:rsid w:val="00381F01"/>
    <w:rsid w:val="00391519"/>
    <w:rsid w:val="003958B6"/>
    <w:rsid w:val="003B4E09"/>
    <w:rsid w:val="003C146B"/>
    <w:rsid w:val="003C50E5"/>
    <w:rsid w:val="003D3EA4"/>
    <w:rsid w:val="003F2BF5"/>
    <w:rsid w:val="00417E49"/>
    <w:rsid w:val="00434F1A"/>
    <w:rsid w:val="00441D19"/>
    <w:rsid w:val="0045553D"/>
    <w:rsid w:val="00461231"/>
    <w:rsid w:val="00467D11"/>
    <w:rsid w:val="00476AE4"/>
    <w:rsid w:val="00491094"/>
    <w:rsid w:val="00496D3F"/>
    <w:rsid w:val="004A08FC"/>
    <w:rsid w:val="004A0B30"/>
    <w:rsid w:val="004A1BE0"/>
    <w:rsid w:val="004C318F"/>
    <w:rsid w:val="004D11D2"/>
    <w:rsid w:val="004E785F"/>
    <w:rsid w:val="004F43A8"/>
    <w:rsid w:val="004F62A2"/>
    <w:rsid w:val="00506F1A"/>
    <w:rsid w:val="005115B2"/>
    <w:rsid w:val="005148E2"/>
    <w:rsid w:val="0052418D"/>
    <w:rsid w:val="00532DD5"/>
    <w:rsid w:val="00533B64"/>
    <w:rsid w:val="00566656"/>
    <w:rsid w:val="005726D8"/>
    <w:rsid w:val="00576A7A"/>
    <w:rsid w:val="00596FCB"/>
    <w:rsid w:val="005E40E4"/>
    <w:rsid w:val="006039B6"/>
    <w:rsid w:val="00607E2C"/>
    <w:rsid w:val="00621C00"/>
    <w:rsid w:val="00652E21"/>
    <w:rsid w:val="0065785C"/>
    <w:rsid w:val="006A0B66"/>
    <w:rsid w:val="006B60B3"/>
    <w:rsid w:val="006C06D3"/>
    <w:rsid w:val="00731D54"/>
    <w:rsid w:val="00734EF1"/>
    <w:rsid w:val="00740D2D"/>
    <w:rsid w:val="007419A5"/>
    <w:rsid w:val="007441BA"/>
    <w:rsid w:val="0074653F"/>
    <w:rsid w:val="00753BD6"/>
    <w:rsid w:val="00756466"/>
    <w:rsid w:val="00757C76"/>
    <w:rsid w:val="00776964"/>
    <w:rsid w:val="00795785"/>
    <w:rsid w:val="007C5CD6"/>
    <w:rsid w:val="007E2D42"/>
    <w:rsid w:val="007E3890"/>
    <w:rsid w:val="008138F8"/>
    <w:rsid w:val="00832845"/>
    <w:rsid w:val="00850E93"/>
    <w:rsid w:val="00855C02"/>
    <w:rsid w:val="008A5E67"/>
    <w:rsid w:val="008C2A5C"/>
    <w:rsid w:val="008E2527"/>
    <w:rsid w:val="008F033F"/>
    <w:rsid w:val="008F1729"/>
    <w:rsid w:val="008F2557"/>
    <w:rsid w:val="00913ECD"/>
    <w:rsid w:val="00915810"/>
    <w:rsid w:val="00920EE7"/>
    <w:rsid w:val="00924399"/>
    <w:rsid w:val="0093503A"/>
    <w:rsid w:val="009406A3"/>
    <w:rsid w:val="00985B3E"/>
    <w:rsid w:val="00986789"/>
    <w:rsid w:val="00990EF2"/>
    <w:rsid w:val="009A09D5"/>
    <w:rsid w:val="009B4246"/>
    <w:rsid w:val="009C3F45"/>
    <w:rsid w:val="009C42BE"/>
    <w:rsid w:val="009C60D0"/>
    <w:rsid w:val="009C6587"/>
    <w:rsid w:val="00A3750B"/>
    <w:rsid w:val="00A7466D"/>
    <w:rsid w:val="00A924B0"/>
    <w:rsid w:val="00AA7D1B"/>
    <w:rsid w:val="00AC1B42"/>
    <w:rsid w:val="00AD05DA"/>
    <w:rsid w:val="00AF2959"/>
    <w:rsid w:val="00B05E47"/>
    <w:rsid w:val="00B072B9"/>
    <w:rsid w:val="00B17673"/>
    <w:rsid w:val="00B35745"/>
    <w:rsid w:val="00B40827"/>
    <w:rsid w:val="00B42FDE"/>
    <w:rsid w:val="00B522E9"/>
    <w:rsid w:val="00B65284"/>
    <w:rsid w:val="00B6534E"/>
    <w:rsid w:val="00B757E9"/>
    <w:rsid w:val="00B77081"/>
    <w:rsid w:val="00B778D3"/>
    <w:rsid w:val="00B9109E"/>
    <w:rsid w:val="00BA3BE0"/>
    <w:rsid w:val="00BD38F6"/>
    <w:rsid w:val="00BD7318"/>
    <w:rsid w:val="00BF2C62"/>
    <w:rsid w:val="00C03F48"/>
    <w:rsid w:val="00C2135D"/>
    <w:rsid w:val="00C62234"/>
    <w:rsid w:val="00C710A6"/>
    <w:rsid w:val="00C75122"/>
    <w:rsid w:val="00C9132B"/>
    <w:rsid w:val="00C9670F"/>
    <w:rsid w:val="00CA5CA1"/>
    <w:rsid w:val="00CB695E"/>
    <w:rsid w:val="00CF01DA"/>
    <w:rsid w:val="00D061E2"/>
    <w:rsid w:val="00D21C44"/>
    <w:rsid w:val="00D21CBD"/>
    <w:rsid w:val="00D43B06"/>
    <w:rsid w:val="00D4590A"/>
    <w:rsid w:val="00D51385"/>
    <w:rsid w:val="00D539C0"/>
    <w:rsid w:val="00D91A07"/>
    <w:rsid w:val="00DA2691"/>
    <w:rsid w:val="00E02383"/>
    <w:rsid w:val="00E07E01"/>
    <w:rsid w:val="00E11FE9"/>
    <w:rsid w:val="00E4579C"/>
    <w:rsid w:val="00E45AA4"/>
    <w:rsid w:val="00E6148D"/>
    <w:rsid w:val="00EA3B11"/>
    <w:rsid w:val="00EB4C11"/>
    <w:rsid w:val="00EB5D07"/>
    <w:rsid w:val="00ED27FA"/>
    <w:rsid w:val="00EE5B7F"/>
    <w:rsid w:val="00EF0226"/>
    <w:rsid w:val="00EF332A"/>
    <w:rsid w:val="00F012BC"/>
    <w:rsid w:val="00F14A4F"/>
    <w:rsid w:val="00F22EA9"/>
    <w:rsid w:val="00F53DA2"/>
    <w:rsid w:val="00F72CFC"/>
    <w:rsid w:val="00F9753B"/>
    <w:rsid w:val="00FA5043"/>
    <w:rsid w:val="00FB5A05"/>
    <w:rsid w:val="00FD65A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5CCACA8"/>
  <w15:docId w15:val="{4EBCACAD-51EA-4AC5-AAF6-D0752BC0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lang w:val="en-US"/>
    </w:rPr>
  </w:style>
  <w:style w:type="paragraph" w:styleId="Titre1">
    <w:name w:val="heading 1"/>
    <w:basedOn w:val="Normal"/>
    <w:next w:val="Normal"/>
    <w:qFormat/>
    <w:pPr>
      <w:keepNext/>
      <w:spacing w:before="240" w:after="60"/>
      <w:outlineLvl w:val="0"/>
    </w:pPr>
    <w:rPr>
      <w:rFonts w:ascii="Arial" w:hAnsi="Arial"/>
      <w:b/>
      <w:kern w:val="28"/>
      <w:sz w:val="28"/>
    </w:rPr>
  </w:style>
  <w:style w:type="paragraph" w:styleId="Titre2">
    <w:name w:val="heading 2"/>
    <w:basedOn w:val="Normal"/>
    <w:next w:val="Normal"/>
    <w:qFormat/>
    <w:pPr>
      <w:outlineLvl w:val="1"/>
    </w:pPr>
  </w:style>
  <w:style w:type="paragraph" w:styleId="Titre3">
    <w:name w:val="heading 3"/>
    <w:basedOn w:val="Normal"/>
    <w:next w:val="Normal"/>
    <w:qFormat/>
    <w:pPr>
      <w:outlineLvl w:val="2"/>
    </w:pPr>
    <w:rPr>
      <w:rFonts w:ascii="Times New Roman Bold" w:hAnsi="Times New Roman Bold"/>
      <w:u w:val="single"/>
    </w:rPr>
  </w:style>
  <w:style w:type="paragraph" w:styleId="Titre4">
    <w:name w:val="heading 4"/>
    <w:basedOn w:val="Normal"/>
    <w:next w:val="Normal"/>
    <w:qFormat/>
    <w:pPr>
      <w:outlineLvl w:val="3"/>
    </w:pPr>
  </w:style>
  <w:style w:type="paragraph" w:styleId="Titre5">
    <w:name w:val="heading 5"/>
    <w:basedOn w:val="Normal"/>
    <w:next w:val="Normal"/>
    <w:qFormat/>
    <w:pPr>
      <w:outlineLvl w:val="4"/>
    </w:pPr>
  </w:style>
  <w:style w:type="paragraph" w:styleId="Titre6">
    <w:name w:val="heading 6"/>
    <w:basedOn w:val="Normal"/>
    <w:next w:val="Normal"/>
    <w:qFormat/>
    <w:pPr>
      <w:outlineLvl w:val="5"/>
    </w:pPr>
  </w:style>
  <w:style w:type="paragraph" w:styleId="Titre7">
    <w:name w:val="heading 7"/>
    <w:basedOn w:val="Normal"/>
    <w:next w:val="Normal"/>
    <w:qFormat/>
    <w:pPr>
      <w:outlineLvl w:val="6"/>
    </w:pPr>
  </w:style>
  <w:style w:type="paragraph" w:styleId="Titre8">
    <w:name w:val="heading 8"/>
    <w:basedOn w:val="Normal"/>
    <w:next w:val="Normal"/>
    <w:qFormat/>
    <w:pPr>
      <w:outlineLvl w:val="7"/>
    </w:pPr>
  </w:style>
  <w:style w:type="paragraph" w:styleId="Titre9">
    <w:name w:val="heading 9"/>
    <w:basedOn w:val="Normal"/>
    <w:next w:val="Normal"/>
    <w:qFormat/>
    <w:pPr>
      <w:keepNext/>
      <w:suppressAutoHyphens/>
      <w:jc w:val="both"/>
      <w:outlineLvl w:val="8"/>
    </w:pPr>
    <w:rPr>
      <w:spacing w:val="-4"/>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right" w:pos="9000"/>
      </w:tabs>
    </w:pPr>
    <w:rPr>
      <w:sz w:val="20"/>
    </w:rPr>
  </w:style>
  <w:style w:type="paragraph" w:styleId="Pieddepage">
    <w:name w:val="footer"/>
    <w:basedOn w:val="Normal"/>
    <w:pPr>
      <w:tabs>
        <w:tab w:val="center" w:pos="4320"/>
        <w:tab w:val="right" w:pos="8640"/>
      </w:tabs>
    </w:pPr>
  </w:style>
  <w:style w:type="character" w:styleId="Numrodepage">
    <w:name w:val="page number"/>
    <w:rPr>
      <w:sz w:val="20"/>
    </w:rPr>
  </w:style>
  <w:style w:type="paragraph" w:styleId="Notedefin">
    <w:name w:val="endnote text"/>
    <w:basedOn w:val="Normal"/>
    <w:semiHidden/>
    <w:rPr>
      <w:sz w:val="20"/>
    </w:rPr>
  </w:style>
  <w:style w:type="paragraph" w:customStyle="1" w:styleId="Header1">
    <w:name w:val="Header1"/>
    <w:basedOn w:val="Normal"/>
    <w:pPr>
      <w:jc w:val="center"/>
    </w:pPr>
    <w:rPr>
      <w:rFonts w:ascii="Times New Roman Bold" w:hAnsi="Times New Roman Bold"/>
      <w:b/>
      <w:smallCaps/>
      <w:sz w:val="36"/>
    </w:rPr>
  </w:style>
  <w:style w:type="character" w:styleId="Appeldenotedefin">
    <w:name w:val="endnote reference"/>
    <w:semiHidden/>
    <w:rPr>
      <w:sz w:val="20"/>
      <w:vertAlign w:val="superscript"/>
    </w:rPr>
  </w:style>
  <w:style w:type="paragraph" w:styleId="Notedebasdepage">
    <w:name w:val="footnote text"/>
    <w:basedOn w:val="Normal"/>
    <w:semiHidden/>
    <w:pPr>
      <w:ind w:left="360" w:hanging="360"/>
      <w:jc w:val="both"/>
    </w:pPr>
    <w:rPr>
      <w:sz w:val="20"/>
    </w:rPr>
  </w:style>
  <w:style w:type="character" w:styleId="Appelnotedebasdep">
    <w:name w:val="footnote reference"/>
    <w:semiHidden/>
    <w:rPr>
      <w:sz w:val="20"/>
      <w:vertAlign w:val="superscript"/>
    </w:rPr>
  </w:style>
  <w:style w:type="character" w:customStyle="1" w:styleId="Style1">
    <w:name w:val="Style1"/>
    <w:rPr>
      <w:rFonts w:ascii="Century Gothic" w:hAnsi="Century Gothic"/>
      <w:b/>
    </w:rPr>
  </w:style>
  <w:style w:type="paragraph" w:customStyle="1" w:styleId="Head11">
    <w:name w:val="Head 1.1"/>
    <w:basedOn w:val="Normal"/>
    <w:pPr>
      <w:tabs>
        <w:tab w:val="left" w:pos="540"/>
      </w:tabs>
      <w:spacing w:after="240"/>
      <w:ind w:left="360" w:hanging="360"/>
      <w:jc w:val="center"/>
    </w:pPr>
    <w:rPr>
      <w:rFonts w:ascii="Times New Roman Bold" w:hAnsi="Times New Roman Bold"/>
      <w:b/>
      <w:sz w:val="28"/>
    </w:rPr>
  </w:style>
  <w:style w:type="character" w:customStyle="1" w:styleId="Explanation">
    <w:name w:val="Explanation"/>
    <w:rPr>
      <w:sz w:val="20"/>
    </w:rPr>
  </w:style>
  <w:style w:type="character" w:customStyle="1" w:styleId="Table">
    <w:name w:val="Table"/>
    <w:rPr>
      <w:rFonts w:ascii="Arial" w:hAnsi="Arial"/>
      <w:sz w:val="20"/>
    </w:rPr>
  </w:style>
  <w:style w:type="character" w:customStyle="1" w:styleId="Parahead">
    <w:name w:val="Para head"/>
    <w:rPr>
      <w:sz w:val="20"/>
    </w:rPr>
  </w:style>
  <w:style w:type="paragraph" w:customStyle="1" w:styleId="Sectionhead">
    <w:name w:val="Section head"/>
    <w:pPr>
      <w:widowControl w:val="0"/>
      <w:tabs>
        <w:tab w:val="left" w:pos="-720"/>
        <w:tab w:val="left" w:pos="0"/>
      </w:tabs>
      <w:suppressAutoHyphens/>
      <w:ind w:left="720" w:hanging="720"/>
    </w:pPr>
    <w:rPr>
      <w:b/>
      <w:sz w:val="24"/>
      <w:lang w:val="en-US"/>
    </w:rPr>
  </w:style>
  <w:style w:type="paragraph" w:styleId="TM1">
    <w:name w:val="toc 1"/>
    <w:basedOn w:val="Normal"/>
    <w:next w:val="Normal"/>
    <w:uiPriority w:val="39"/>
    <w:pPr>
      <w:tabs>
        <w:tab w:val="right" w:leader="dot" w:pos="9000"/>
      </w:tabs>
      <w:suppressAutoHyphens/>
      <w:spacing w:before="120"/>
      <w:ind w:left="720" w:right="720" w:hanging="720"/>
    </w:pPr>
  </w:style>
  <w:style w:type="paragraph" w:styleId="TM2">
    <w:name w:val="toc 2"/>
    <w:basedOn w:val="Normal"/>
    <w:next w:val="Normal"/>
    <w:semiHidden/>
    <w:pPr>
      <w:tabs>
        <w:tab w:val="right" w:leader="dot" w:pos="9000"/>
      </w:tabs>
      <w:suppressAutoHyphens/>
      <w:ind w:left="1440" w:right="720" w:hanging="720"/>
    </w:pPr>
  </w:style>
  <w:style w:type="paragraph" w:styleId="TM3">
    <w:name w:val="toc 3"/>
    <w:basedOn w:val="Normal"/>
    <w:next w:val="Normal"/>
    <w:semiHidden/>
    <w:pPr>
      <w:tabs>
        <w:tab w:val="right" w:leader="dot" w:pos="9000"/>
      </w:tabs>
      <w:suppressAutoHyphens/>
      <w:ind w:left="2160" w:right="720" w:hanging="720"/>
    </w:pPr>
  </w:style>
  <w:style w:type="paragraph" w:styleId="TM4">
    <w:name w:val="toc 4"/>
    <w:basedOn w:val="Normal"/>
    <w:next w:val="Normal"/>
    <w:semiHidden/>
    <w:pPr>
      <w:tabs>
        <w:tab w:val="right" w:leader="dot" w:pos="9000"/>
      </w:tabs>
      <w:suppressAutoHyphens/>
      <w:ind w:left="2880" w:right="720" w:hanging="720"/>
    </w:pPr>
  </w:style>
  <w:style w:type="paragraph" w:styleId="TM5">
    <w:name w:val="toc 5"/>
    <w:basedOn w:val="Normal"/>
    <w:next w:val="Normal"/>
    <w:semiHidden/>
    <w:pPr>
      <w:tabs>
        <w:tab w:val="right" w:leader="dot" w:pos="9000"/>
      </w:tabs>
      <w:suppressAutoHyphens/>
      <w:ind w:left="3600" w:right="720" w:hanging="720"/>
    </w:pPr>
  </w:style>
  <w:style w:type="paragraph" w:styleId="TM6">
    <w:name w:val="toc 6"/>
    <w:basedOn w:val="Normal"/>
    <w:next w:val="Normal"/>
    <w:semiHidden/>
    <w:pPr>
      <w:tabs>
        <w:tab w:val="right" w:pos="9000"/>
      </w:tabs>
      <w:suppressAutoHyphens/>
      <w:ind w:left="720" w:hanging="720"/>
    </w:pPr>
  </w:style>
  <w:style w:type="paragraph" w:styleId="TM7">
    <w:name w:val="toc 7"/>
    <w:basedOn w:val="Normal"/>
    <w:next w:val="Normal"/>
    <w:semiHidden/>
    <w:pPr>
      <w:suppressAutoHyphens/>
      <w:ind w:left="720" w:hanging="720"/>
    </w:pPr>
  </w:style>
  <w:style w:type="paragraph" w:styleId="TM8">
    <w:name w:val="toc 8"/>
    <w:basedOn w:val="Normal"/>
    <w:next w:val="Normal"/>
    <w:semiHidden/>
    <w:pPr>
      <w:tabs>
        <w:tab w:val="right" w:pos="9000"/>
      </w:tabs>
      <w:suppressAutoHyphens/>
      <w:ind w:left="720" w:hanging="720"/>
    </w:pPr>
  </w:style>
  <w:style w:type="paragraph" w:styleId="TM9">
    <w:name w:val="toc 9"/>
    <w:basedOn w:val="Normal"/>
    <w:next w:val="Normal"/>
    <w:semiHidden/>
    <w:pPr>
      <w:tabs>
        <w:tab w:val="right" w:leader="dot" w:pos="900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itreTR">
    <w:name w:val="toa heading"/>
    <w:basedOn w:val="Normal"/>
    <w:next w:val="Normal"/>
    <w:semiHidden/>
    <w:pPr>
      <w:tabs>
        <w:tab w:val="right" w:pos="9360"/>
      </w:tabs>
      <w:suppressAutoHyphens/>
    </w:pPr>
  </w:style>
  <w:style w:type="paragraph" w:styleId="Lgende">
    <w:name w:val="caption"/>
    <w:basedOn w:val="Normal"/>
    <w:next w:val="Normal"/>
    <w:qFormat/>
  </w:style>
  <w:style w:type="character" w:customStyle="1" w:styleId="EquationCaption">
    <w:name w:val="_Equation Caption"/>
    <w:rPr>
      <w:sz w:val="20"/>
    </w:rPr>
  </w:style>
  <w:style w:type="paragraph" w:styleId="Corpsdetexte">
    <w:name w:val="Body Text"/>
    <w:basedOn w:val="Normal"/>
    <w:pPr>
      <w:suppressAutoHyphens/>
      <w:jc w:val="both"/>
    </w:pPr>
    <w:rPr>
      <w:spacing w:val="-2"/>
    </w:rPr>
  </w:style>
  <w:style w:type="paragraph" w:styleId="Corpsdetexte2">
    <w:name w:val="Body Text 2"/>
    <w:basedOn w:val="Normal"/>
    <w:pPr>
      <w:suppressAutoHyphens/>
      <w:jc w:val="both"/>
    </w:pPr>
    <w:rPr>
      <w:spacing w:val="-4"/>
      <w:sz w:val="32"/>
    </w:rPr>
  </w:style>
  <w:style w:type="paragraph" w:styleId="Retraitcorpsdetexte">
    <w:name w:val="Body Text Indent"/>
    <w:basedOn w:val="Normal"/>
    <w:pPr>
      <w:keepNext/>
      <w:keepLines/>
      <w:ind w:left="-18"/>
      <w:jc w:val="both"/>
    </w:pPr>
  </w:style>
  <w:style w:type="paragraph" w:customStyle="1" w:styleId="Head12">
    <w:name w:val="Head 1.2"/>
    <w:basedOn w:val="Head11"/>
    <w:autoRedefine/>
    <w:rsid w:val="0032239A"/>
    <w:pPr>
      <w:widowControl/>
      <w:numPr>
        <w:numId w:val="7"/>
      </w:numPr>
      <w:tabs>
        <w:tab w:val="clear" w:pos="540"/>
      </w:tabs>
      <w:spacing w:after="200"/>
      <w:ind w:left="57" w:hanging="57"/>
      <w:jc w:val="left"/>
    </w:pPr>
    <w:rPr>
      <w:spacing w:val="-6"/>
      <w:sz w:val="24"/>
      <w:lang w:val="fr-FR"/>
    </w:rPr>
  </w:style>
  <w:style w:type="paragraph" w:styleId="Retraitcorpsdetexte2">
    <w:name w:val="Body Text Indent 2"/>
    <w:basedOn w:val="Normal"/>
    <w:pPr>
      <w:keepNext/>
      <w:keepLines/>
      <w:ind w:hanging="18"/>
      <w:jc w:val="both"/>
    </w:pPr>
  </w:style>
  <w:style w:type="paragraph" w:styleId="Retraitcorpsdetexte3">
    <w:name w:val="Body Text Indent 3"/>
    <w:basedOn w:val="Normal"/>
    <w:pPr>
      <w:keepNext/>
      <w:keepLines/>
      <w:ind w:left="-14"/>
      <w:jc w:val="both"/>
    </w:pPr>
  </w:style>
  <w:style w:type="paragraph" w:customStyle="1" w:styleId="Head2">
    <w:name w:val="Head 2"/>
    <w:basedOn w:val="Titre9"/>
    <w:pPr>
      <w:outlineLvl w:val="9"/>
    </w:pPr>
    <w:rPr>
      <w:rFonts w:ascii="Times New Roman Bold" w:hAnsi="Times New Roman Bold"/>
    </w:rPr>
  </w:style>
  <w:style w:type="paragraph" w:customStyle="1" w:styleId="head21">
    <w:name w:val="head 2.1"/>
    <w:basedOn w:val="Head11"/>
  </w:style>
  <w:style w:type="paragraph" w:customStyle="1" w:styleId="Outline">
    <w:name w:val="Outline"/>
    <w:basedOn w:val="Normal"/>
    <w:pPr>
      <w:widowControl/>
      <w:spacing w:before="240"/>
    </w:pPr>
    <w:rPr>
      <w:kern w:val="28"/>
    </w:rPr>
  </w:style>
  <w:style w:type="paragraph" w:customStyle="1" w:styleId="Outline1">
    <w:name w:val="Outline1"/>
    <w:basedOn w:val="Outline"/>
    <w:next w:val="Outline2"/>
    <w:pPr>
      <w:keepNext/>
      <w:numPr>
        <w:numId w:val="1"/>
      </w:numPr>
      <w:tabs>
        <w:tab w:val="clear" w:pos="432"/>
        <w:tab w:val="num" w:pos="360"/>
      </w:tabs>
      <w:ind w:left="360" w:hanging="360"/>
    </w:pPr>
  </w:style>
  <w:style w:type="paragraph" w:customStyle="1" w:styleId="Outline2">
    <w:name w:val="Outline2"/>
    <w:basedOn w:val="Normal"/>
    <w:pPr>
      <w:widowControl/>
      <w:numPr>
        <w:ilvl w:val="1"/>
        <w:numId w:val="1"/>
      </w:numPr>
      <w:tabs>
        <w:tab w:val="clear" w:pos="1152"/>
        <w:tab w:val="num" w:pos="864"/>
      </w:tabs>
      <w:spacing w:before="240"/>
      <w:ind w:left="864" w:hanging="504"/>
    </w:pPr>
    <w:rPr>
      <w:kern w:val="28"/>
    </w:rPr>
  </w:style>
  <w:style w:type="paragraph" w:customStyle="1" w:styleId="Outline3">
    <w:name w:val="Outline3"/>
    <w:basedOn w:val="Normal"/>
    <w:pPr>
      <w:widowControl/>
      <w:numPr>
        <w:ilvl w:val="2"/>
        <w:numId w:val="1"/>
      </w:numPr>
      <w:tabs>
        <w:tab w:val="clear" w:pos="1728"/>
        <w:tab w:val="num" w:pos="1368"/>
      </w:tabs>
      <w:spacing w:before="240"/>
      <w:ind w:left="1368" w:hanging="504"/>
    </w:pPr>
    <w:rPr>
      <w:kern w:val="28"/>
    </w:rPr>
  </w:style>
  <w:style w:type="paragraph" w:customStyle="1" w:styleId="Outline4">
    <w:name w:val="Outline4"/>
    <w:basedOn w:val="Normal"/>
    <w:pPr>
      <w:widowControl/>
      <w:numPr>
        <w:ilvl w:val="3"/>
        <w:numId w:val="1"/>
      </w:numPr>
      <w:tabs>
        <w:tab w:val="clear" w:pos="2304"/>
        <w:tab w:val="num" w:pos="1872"/>
      </w:tabs>
      <w:spacing w:before="240"/>
      <w:ind w:left="1872" w:hanging="504"/>
    </w:pPr>
    <w:rPr>
      <w:kern w:val="28"/>
    </w:rPr>
  </w:style>
  <w:style w:type="paragraph" w:customStyle="1" w:styleId="outlinebullet">
    <w:name w:val="outlinebullet"/>
    <w:basedOn w:val="Normal"/>
    <w:pPr>
      <w:widowControl/>
      <w:numPr>
        <w:numId w:val="2"/>
      </w:numPr>
      <w:tabs>
        <w:tab w:val="clear" w:pos="360"/>
        <w:tab w:val="left" w:pos="1440"/>
      </w:tabs>
      <w:spacing w:before="120"/>
      <w:ind w:left="1440" w:hanging="450"/>
    </w:pPr>
  </w:style>
  <w:style w:type="paragraph" w:styleId="Explorateurdedocuments">
    <w:name w:val="Document Map"/>
    <w:basedOn w:val="Normal"/>
    <w:semiHidden/>
    <w:pPr>
      <w:shd w:val="clear" w:color="auto" w:fill="000080"/>
    </w:pPr>
    <w:rPr>
      <w:rFonts w:ascii="Tahoma" w:hAnsi="Tahoma"/>
    </w:rPr>
  </w:style>
  <w:style w:type="paragraph" w:styleId="Corpsdetexte3">
    <w:name w:val="Body Text 3"/>
    <w:basedOn w:val="Normal"/>
    <w:link w:val="Corpsdetexte3Car"/>
    <w:pPr>
      <w:spacing w:before="60" w:after="60"/>
      <w:jc w:val="center"/>
    </w:pPr>
    <w:rPr>
      <w:b/>
      <w:sz w:val="32"/>
      <w:lang w:eastAsia="x-none"/>
    </w:rPr>
  </w:style>
  <w:style w:type="paragraph" w:styleId="Titre">
    <w:name w:val="Title"/>
    <w:basedOn w:val="Normal"/>
    <w:qFormat/>
    <w:pPr>
      <w:widowControl/>
      <w:ind w:left="720" w:right="-360" w:hanging="720"/>
      <w:jc w:val="center"/>
    </w:pPr>
    <w:rPr>
      <w:rFonts w:ascii="Times New Roman Bold" w:hAnsi="Times New Roman Bold"/>
      <w:b/>
      <w:caps/>
      <w:sz w:val="40"/>
    </w:rPr>
  </w:style>
  <w:style w:type="paragraph" w:customStyle="1" w:styleId="pq-annexb">
    <w:name w:val="pq-annexb"/>
    <w:basedOn w:val="Normal"/>
    <w:pPr>
      <w:widowControl/>
      <w:tabs>
        <w:tab w:val="num" w:pos="720"/>
      </w:tabs>
      <w:ind w:left="720" w:hanging="720"/>
      <w:jc w:val="both"/>
    </w:pPr>
    <w:rPr>
      <w:b/>
    </w:rPr>
  </w:style>
  <w:style w:type="paragraph" w:customStyle="1" w:styleId="pq-annexb2">
    <w:name w:val="pq-annexb2"/>
    <w:basedOn w:val="pq-annexb"/>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Subtitle2">
    <w:name w:val="Subtitle 2"/>
    <w:basedOn w:val="Pieddepage"/>
    <w:autoRedefine/>
    <w:rsid w:val="00855C02"/>
    <w:pPr>
      <w:widowControl/>
      <w:tabs>
        <w:tab w:val="clear" w:pos="4320"/>
        <w:tab w:val="clear" w:pos="8640"/>
      </w:tabs>
      <w:spacing w:before="120"/>
      <w:jc w:val="center"/>
      <w:outlineLvl w:val="1"/>
    </w:pPr>
    <w:rPr>
      <w:b/>
      <w:sz w:val="32"/>
      <w:lang w:val="fr-FR"/>
    </w:rPr>
  </w:style>
  <w:style w:type="paragraph" w:customStyle="1" w:styleId="Header3-Paragraph">
    <w:name w:val="Header 3 - Paragraph"/>
    <w:basedOn w:val="Normal"/>
    <w:rsid w:val="00EA3B11"/>
    <w:pPr>
      <w:widowControl/>
      <w:tabs>
        <w:tab w:val="left" w:pos="504"/>
      </w:tabs>
      <w:overflowPunct w:val="0"/>
      <w:autoSpaceDE w:val="0"/>
      <w:autoSpaceDN w:val="0"/>
      <w:adjustRightInd w:val="0"/>
      <w:spacing w:after="200"/>
      <w:ind w:left="504" w:hanging="504"/>
      <w:jc w:val="both"/>
      <w:textAlignment w:val="baseline"/>
    </w:pPr>
    <w:rPr>
      <w:rFonts w:cs="Arial"/>
      <w:szCs w:val="24"/>
    </w:rPr>
  </w:style>
  <w:style w:type="paragraph" w:customStyle="1" w:styleId="Header1-Clauses">
    <w:name w:val="Header 1 - Clauses"/>
    <w:basedOn w:val="Normal"/>
    <w:rsid w:val="00EA3B11"/>
    <w:pPr>
      <w:widowControl/>
      <w:tabs>
        <w:tab w:val="left" w:pos="432"/>
      </w:tabs>
      <w:overflowPunct w:val="0"/>
      <w:autoSpaceDE w:val="0"/>
      <w:autoSpaceDN w:val="0"/>
      <w:adjustRightInd w:val="0"/>
      <w:ind w:left="432" w:hanging="432"/>
      <w:textAlignment w:val="baseline"/>
    </w:pPr>
    <w:rPr>
      <w:rFonts w:cs="Arial"/>
      <w:b/>
      <w:szCs w:val="24"/>
      <w:lang w:val="es-ES_tradnl"/>
    </w:rPr>
  </w:style>
  <w:style w:type="paragraph" w:customStyle="1" w:styleId="SectionIVHeader">
    <w:name w:val="Section IV Header"/>
    <w:basedOn w:val="Normal"/>
    <w:rsid w:val="002511AF"/>
    <w:pPr>
      <w:widowControl/>
      <w:overflowPunct w:val="0"/>
      <w:autoSpaceDE w:val="0"/>
      <w:autoSpaceDN w:val="0"/>
      <w:adjustRightInd w:val="0"/>
      <w:jc w:val="center"/>
      <w:textAlignment w:val="baseline"/>
    </w:pPr>
    <w:rPr>
      <w:rFonts w:cs="Arial"/>
      <w:b/>
      <w:sz w:val="36"/>
      <w:szCs w:val="24"/>
      <w:lang w:val="fr-FR"/>
    </w:rPr>
  </w:style>
  <w:style w:type="paragraph" w:styleId="Textedebulles">
    <w:name w:val="Balloon Text"/>
    <w:basedOn w:val="Normal"/>
    <w:semiHidden/>
    <w:rsid w:val="005E40E4"/>
    <w:rPr>
      <w:rFonts w:ascii="Tahoma" w:hAnsi="Tahoma" w:cs="Tahoma"/>
      <w:sz w:val="16"/>
      <w:szCs w:val="16"/>
    </w:rPr>
  </w:style>
  <w:style w:type="paragraph" w:customStyle="1" w:styleId="BankNormal">
    <w:name w:val="BankNormal"/>
    <w:basedOn w:val="Normal"/>
    <w:rsid w:val="00FA5043"/>
    <w:pPr>
      <w:widowControl/>
      <w:spacing w:after="240"/>
    </w:pPr>
  </w:style>
  <w:style w:type="character" w:customStyle="1" w:styleId="Corpsdetexte3Car">
    <w:name w:val="Corps de texte 3 Car"/>
    <w:link w:val="Corpsdetexte3"/>
    <w:rsid w:val="00381F01"/>
    <w:rPr>
      <w:b/>
      <w:sz w:val="32"/>
      <w:lang w:val="en-US"/>
    </w:rPr>
  </w:style>
  <w:style w:type="table" w:styleId="Grilledutableau">
    <w:name w:val="Table Grid"/>
    <w:basedOn w:val="TableauNormal"/>
    <w:uiPriority w:val="59"/>
    <w:rsid w:val="00381F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D51385"/>
    <w:rPr>
      <w:sz w:val="16"/>
      <w:szCs w:val="16"/>
    </w:rPr>
  </w:style>
  <w:style w:type="paragraph" w:styleId="Commentaire">
    <w:name w:val="annotation text"/>
    <w:basedOn w:val="Normal"/>
    <w:link w:val="CommentaireCar"/>
    <w:rsid w:val="00D51385"/>
    <w:rPr>
      <w:sz w:val="20"/>
    </w:rPr>
  </w:style>
  <w:style w:type="character" w:customStyle="1" w:styleId="CommentaireCar">
    <w:name w:val="Commentaire Car"/>
    <w:link w:val="Commentaire"/>
    <w:rsid w:val="00D51385"/>
    <w:rPr>
      <w:lang w:val="en-US"/>
    </w:rPr>
  </w:style>
  <w:style w:type="paragraph" w:styleId="Objetducommentaire">
    <w:name w:val="annotation subject"/>
    <w:basedOn w:val="Commentaire"/>
    <w:next w:val="Commentaire"/>
    <w:link w:val="ObjetducommentaireCar"/>
    <w:rsid w:val="00D51385"/>
    <w:rPr>
      <w:b/>
      <w:bCs/>
    </w:rPr>
  </w:style>
  <w:style w:type="character" w:customStyle="1" w:styleId="ObjetducommentaireCar">
    <w:name w:val="Objet du commentaire Car"/>
    <w:link w:val="Objetducommentaire"/>
    <w:rsid w:val="00D51385"/>
    <w:rPr>
      <w:b/>
      <w:bCs/>
      <w:lang w:val="en-US"/>
    </w:rPr>
  </w:style>
  <w:style w:type="paragraph" w:styleId="Paragraphedeliste">
    <w:name w:val="List Paragraph"/>
    <w:basedOn w:val="Normal"/>
    <w:uiPriority w:val="34"/>
    <w:qFormat/>
    <w:rsid w:val="00E02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inances.goov.t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30754-A533-4F9B-8796-F4A37664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Pages>
  <Words>1053</Words>
  <Characters>6152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STANDARD PREQUALIFICATION DOCUMENT</vt:lpstr>
    </vt:vector>
  </TitlesOfParts>
  <Company>HP</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PREQUALIFICATION DOCUMENT</dc:title>
  <dc:creator>GSDTI</dc:creator>
  <cp:lastModifiedBy>COMPTABILITE</cp:lastModifiedBy>
  <cp:revision>83</cp:revision>
  <cp:lastPrinted>2024-12-09T16:56:00Z</cp:lastPrinted>
  <dcterms:created xsi:type="dcterms:W3CDTF">2024-09-20T11:07:00Z</dcterms:created>
  <dcterms:modified xsi:type="dcterms:W3CDTF">2024-12-10T11:25:00Z</dcterms:modified>
</cp:coreProperties>
</file>