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CB1B" w14:textId="77777777" w:rsidR="00A1729D" w:rsidRDefault="00A1729D" w:rsidP="00A1729D">
      <w:pPr>
        <w:pStyle w:val="Titre"/>
        <w:rPr>
          <w:sz w:val="72"/>
          <w:lang w:val="fr-FR"/>
        </w:rPr>
      </w:pPr>
      <w:r>
        <w:rPr>
          <w:spacing w:val="80"/>
          <w:sz w:val="40"/>
          <w:lang w:val="fr-FR"/>
        </w:rPr>
        <w:t>DOSSIER D’APPEL D’OFFRES</w:t>
      </w:r>
    </w:p>
    <w:p w14:paraId="6F27CBD5" w14:textId="77777777" w:rsidR="00A1729D" w:rsidRDefault="00A1729D" w:rsidP="00A1729D">
      <w:pPr>
        <w:pStyle w:val="Titre"/>
        <w:rPr>
          <w:b w:val="0"/>
          <w:i/>
          <w:sz w:val="40"/>
          <w:lang w:val="fr-FR"/>
        </w:rPr>
      </w:pPr>
      <w:r>
        <w:rPr>
          <w:sz w:val="40"/>
          <w:lang w:val="fr-FR"/>
        </w:rPr>
        <w:t xml:space="preserve">Émis le : </w:t>
      </w:r>
      <w:r>
        <w:rPr>
          <w:b w:val="0"/>
          <w:i/>
          <w:iCs/>
          <w:sz w:val="40"/>
          <w:lang w:val="fr-FR"/>
        </w:rPr>
        <w:t>10 AÔUT 2024</w:t>
      </w:r>
    </w:p>
    <w:p w14:paraId="64C3A27D" w14:textId="77777777" w:rsidR="00A1729D" w:rsidRDefault="00A1729D" w:rsidP="00A1729D">
      <w:pPr>
        <w:pStyle w:val="Titre"/>
        <w:rPr>
          <w:sz w:val="40"/>
          <w:lang w:val="fr-FR"/>
        </w:rPr>
      </w:pPr>
    </w:p>
    <w:p w14:paraId="403D75D8" w14:textId="77777777" w:rsidR="00A1729D" w:rsidRDefault="00A1729D" w:rsidP="00A1729D">
      <w:pPr>
        <w:jc w:val="center"/>
        <w:rPr>
          <w:b/>
          <w:sz w:val="40"/>
        </w:rPr>
      </w:pPr>
      <w:r>
        <w:rPr>
          <w:b/>
          <w:sz w:val="40"/>
        </w:rPr>
        <w:t>Pour</w:t>
      </w:r>
    </w:p>
    <w:p w14:paraId="10DEB08B" w14:textId="77777777" w:rsidR="00A1729D" w:rsidRDefault="00A1729D" w:rsidP="00A1729D">
      <w:pPr>
        <w:jc w:val="center"/>
      </w:pPr>
    </w:p>
    <w:p w14:paraId="4A278C80" w14:textId="77777777" w:rsidR="00A1729D" w:rsidRDefault="00A1729D" w:rsidP="00A1729D">
      <w:pPr>
        <w:jc w:val="center"/>
        <w:rPr>
          <w:b/>
          <w:sz w:val="40"/>
          <w:szCs w:val="40"/>
        </w:rPr>
      </w:pPr>
      <w:r>
        <w:rPr>
          <w:b/>
          <w:sz w:val="40"/>
          <w:szCs w:val="40"/>
        </w:rPr>
        <w:t xml:space="preserve">LA LIVRAISON D’UN BULLDOZER ET D’UNE CHARGEUSE </w:t>
      </w:r>
    </w:p>
    <w:p w14:paraId="6A45F9B1" w14:textId="77777777" w:rsidR="00A1729D" w:rsidRDefault="00A1729D" w:rsidP="00A1729D">
      <w:pPr>
        <w:jc w:val="center"/>
        <w:rPr>
          <w:b/>
          <w:sz w:val="36"/>
          <w:szCs w:val="36"/>
        </w:rPr>
      </w:pPr>
      <w:r>
        <w:rPr>
          <w:b/>
          <w:color w:val="FF0000"/>
          <w:sz w:val="40"/>
          <w:szCs w:val="40"/>
        </w:rPr>
        <w:t xml:space="preserve"> </w:t>
      </w:r>
    </w:p>
    <w:p w14:paraId="1988EA6C" w14:textId="77777777" w:rsidR="00A1729D" w:rsidRDefault="00A1729D" w:rsidP="00A1729D">
      <w:pPr>
        <w:jc w:val="center"/>
        <w:rPr>
          <w:b/>
          <w:sz w:val="56"/>
        </w:rPr>
      </w:pPr>
    </w:p>
    <w:p w14:paraId="3495F306" w14:textId="77777777" w:rsidR="00A1729D" w:rsidRDefault="00A1729D" w:rsidP="00A1729D">
      <w:pPr>
        <w:jc w:val="center"/>
        <w:rPr>
          <w:sz w:val="40"/>
          <w:szCs w:val="40"/>
        </w:rPr>
      </w:pPr>
      <w:r>
        <w:rPr>
          <w:b/>
          <w:sz w:val="40"/>
        </w:rPr>
        <w:t>Appel d’Offres N° 001/RP/PW/CW1/2024</w:t>
      </w:r>
      <w:r>
        <w:rPr>
          <w:b/>
          <w:sz w:val="40"/>
        </w:rPr>
        <w:br/>
      </w:r>
    </w:p>
    <w:p w14:paraId="7798F316" w14:textId="77777777" w:rsidR="00A1729D" w:rsidRDefault="00A1729D" w:rsidP="00A1729D">
      <w:pPr>
        <w:jc w:val="both"/>
        <w:rPr>
          <w:b/>
        </w:rPr>
      </w:pPr>
    </w:p>
    <w:p w14:paraId="41B27EE4" w14:textId="77777777" w:rsidR="00A1729D" w:rsidRDefault="00A1729D" w:rsidP="00A1729D">
      <w:pPr>
        <w:pStyle w:val="BankNormal"/>
        <w:jc w:val="both"/>
        <w:rPr>
          <w:b/>
          <w:sz w:val="40"/>
          <w:lang w:val="fr-FR"/>
        </w:rPr>
      </w:pPr>
    </w:p>
    <w:p w14:paraId="77BAB9E1" w14:textId="77777777" w:rsidR="00A1729D" w:rsidRDefault="00A1729D" w:rsidP="00A1729D">
      <w:pPr>
        <w:pStyle w:val="BankNormal"/>
        <w:jc w:val="center"/>
        <w:rPr>
          <w:b/>
          <w:sz w:val="40"/>
          <w:lang w:val="fr-FR"/>
        </w:rPr>
      </w:pPr>
      <w:r>
        <w:rPr>
          <w:b/>
          <w:sz w:val="40"/>
          <w:lang w:val="fr-FR"/>
        </w:rPr>
        <w:t>Autorité contractante :</w:t>
      </w:r>
    </w:p>
    <w:p w14:paraId="5179F0C3" w14:textId="77777777" w:rsidR="00A1729D" w:rsidRDefault="00A1729D" w:rsidP="00A1729D">
      <w:pPr>
        <w:pStyle w:val="BankNormal"/>
        <w:jc w:val="center"/>
        <w:rPr>
          <w:sz w:val="40"/>
          <w:lang w:val="fr-FR"/>
        </w:rPr>
      </w:pPr>
      <w:r>
        <w:rPr>
          <w:i/>
          <w:iCs/>
          <w:sz w:val="40"/>
          <w:lang w:val="fr-FR"/>
        </w:rPr>
        <w:t>COMMUNE DE WAWA 1</w:t>
      </w:r>
    </w:p>
    <w:p w14:paraId="4E1644C7" w14:textId="77777777" w:rsidR="00A1729D" w:rsidRDefault="00A1729D" w:rsidP="00A1729D">
      <w:pPr>
        <w:pStyle w:val="i"/>
        <w:suppressAutoHyphens w:val="0"/>
        <w:rPr>
          <w:rFonts w:ascii="Times New Roman" w:hAnsi="Times New Roman"/>
          <w:lang w:val="fr-FR"/>
        </w:rPr>
      </w:pPr>
    </w:p>
    <w:p w14:paraId="47595B43" w14:textId="77777777" w:rsidR="00A1729D" w:rsidRDefault="00A1729D" w:rsidP="00A1729D">
      <w:pPr>
        <w:jc w:val="both"/>
      </w:pPr>
    </w:p>
    <w:p w14:paraId="4A0EF26E" w14:textId="77777777" w:rsidR="00A1729D" w:rsidRDefault="00A1729D" w:rsidP="00A1729D">
      <w:pPr>
        <w:jc w:val="center"/>
        <w:rPr>
          <w:b/>
          <w:szCs w:val="24"/>
        </w:rPr>
      </w:pPr>
      <w:r>
        <w:rPr>
          <w:b/>
          <w:color w:val="000000"/>
          <w:sz w:val="32"/>
          <w:szCs w:val="32"/>
        </w:rPr>
        <w:t>Source de financement</w:t>
      </w:r>
      <w:r>
        <w:rPr>
          <w:b/>
          <w:sz w:val="32"/>
          <w:szCs w:val="32"/>
        </w:rPr>
        <w:t> : Agence Française de Développement (AFD)</w:t>
      </w:r>
    </w:p>
    <w:p w14:paraId="3A773EAD" w14:textId="77777777" w:rsidR="00A1729D" w:rsidRDefault="00A1729D" w:rsidP="00A1729D">
      <w:pPr>
        <w:rPr>
          <w:b/>
          <w:bCs/>
        </w:rPr>
      </w:pPr>
      <w:r>
        <w:rPr>
          <w:b/>
          <w:bCs/>
        </w:rPr>
        <w:t>ET   LE FOND D’APPUI AUX COLLECTIVITES TERRITORIALE (FACT)</w:t>
      </w:r>
    </w:p>
    <w:p w14:paraId="0BAC4F17" w14:textId="77777777" w:rsidR="00A1729D" w:rsidRDefault="00A1729D" w:rsidP="00A1729D">
      <w:pPr>
        <w:rPr>
          <w:b/>
          <w:bCs/>
        </w:rPr>
        <w:sectPr w:rsidR="00A1729D">
          <w:endnotePr>
            <w:numFmt w:val="decimal"/>
            <w:numRestart w:val="eachSect"/>
          </w:endnotePr>
          <w:pgSz w:w="12240" w:h="15840"/>
          <w:pgMar w:top="1440" w:right="1440" w:bottom="1440" w:left="1800" w:header="720" w:footer="720" w:gutter="0"/>
          <w:paperSrc w:first="15" w:other="15"/>
          <w:pgNumType w:fmt="lowerRoman"/>
          <w:cols w:space="720"/>
        </w:sectPr>
      </w:pPr>
    </w:p>
    <w:p w14:paraId="6C62C978" w14:textId="77777777" w:rsidR="00A1729D" w:rsidRDefault="00A1729D" w:rsidP="00A1729D"/>
    <w:p w14:paraId="24D7EF91" w14:textId="77777777" w:rsidR="00A1729D" w:rsidRDefault="00A1729D" w:rsidP="00A1729D"/>
    <w:p w14:paraId="0B0E419B" w14:textId="77777777" w:rsidR="00A1729D" w:rsidRDefault="00A1729D" w:rsidP="00A1729D"/>
    <w:p w14:paraId="3CF78610" w14:textId="77777777" w:rsidR="00A1729D" w:rsidRDefault="00A1729D" w:rsidP="00A1729D">
      <w:pPr>
        <w:sectPr w:rsidR="00A1729D">
          <w:endnotePr>
            <w:numFmt w:val="decimal"/>
            <w:numRestart w:val="eachSect"/>
          </w:endnotePr>
          <w:type w:val="oddPage"/>
          <w:pgSz w:w="12240" w:h="15840"/>
          <w:pgMar w:top="1440" w:right="1440" w:bottom="1440" w:left="1800" w:header="720" w:footer="720" w:gutter="0"/>
          <w:paperSrc w:first="15" w:other="15"/>
          <w:pgNumType w:start="1"/>
          <w:cols w:space="720"/>
        </w:sectPr>
      </w:pPr>
    </w:p>
    <w:p w14:paraId="7EDEFAD6" w14:textId="77777777" w:rsidR="00A1729D" w:rsidRDefault="00A1729D" w:rsidP="00A1729D">
      <w:pPr>
        <w:pStyle w:val="Sous-titre"/>
        <w:spacing w:line="360" w:lineRule="auto"/>
        <w:rPr>
          <w:sz w:val="36"/>
          <w:lang w:val="fr-FR"/>
        </w:rPr>
      </w:pPr>
      <w:r>
        <w:rPr>
          <w:sz w:val="36"/>
          <w:lang w:val="fr-FR"/>
        </w:rPr>
        <w:lastRenderedPageBreak/>
        <w:t>Section I. Avis d’Appel d’Offres Ouvert (AAOO)</w:t>
      </w:r>
    </w:p>
    <w:p w14:paraId="4B49DA94" w14:textId="77777777" w:rsidR="00A1729D" w:rsidRDefault="00A1729D" w:rsidP="00A1729D">
      <w:pPr>
        <w:spacing w:line="360" w:lineRule="auto"/>
        <w:jc w:val="center"/>
        <w:rPr>
          <w:b/>
          <w:bCs/>
          <w:i/>
          <w:iCs/>
        </w:rPr>
      </w:pPr>
    </w:p>
    <w:p w14:paraId="6B533CE6" w14:textId="77777777" w:rsidR="00A1729D" w:rsidRDefault="00A1729D" w:rsidP="00A1729D">
      <w:pPr>
        <w:spacing w:line="360" w:lineRule="auto"/>
        <w:jc w:val="center"/>
        <w:rPr>
          <w:b/>
          <w:bCs/>
          <w:i/>
          <w:iCs/>
        </w:rPr>
      </w:pPr>
      <w:r>
        <w:rPr>
          <w:b/>
          <w:bCs/>
          <w:i/>
          <w:iCs/>
        </w:rPr>
        <w:t>COMMUNE DE WAWA 1</w:t>
      </w:r>
    </w:p>
    <w:p w14:paraId="73543B4A" w14:textId="77777777" w:rsidR="00A1729D" w:rsidRDefault="00A1729D" w:rsidP="00A1729D">
      <w:pPr>
        <w:spacing w:line="360" w:lineRule="auto"/>
        <w:jc w:val="center"/>
        <w:rPr>
          <w:b/>
          <w:bCs/>
          <w:i/>
          <w:iCs/>
        </w:rPr>
      </w:pPr>
    </w:p>
    <w:p w14:paraId="017369EB" w14:textId="77777777" w:rsidR="00A1729D" w:rsidRDefault="00A1729D" w:rsidP="00A1729D">
      <w:pPr>
        <w:spacing w:line="360" w:lineRule="auto"/>
        <w:jc w:val="center"/>
        <w:rPr>
          <w:b/>
          <w:bCs/>
          <w:i/>
          <w:iCs/>
        </w:rPr>
      </w:pPr>
      <w:r>
        <w:rPr>
          <w:b/>
          <w:bCs/>
          <w:i/>
          <w:iCs/>
        </w:rPr>
        <w:t>AAOO N° 001/RP/PW/CW1/2024</w:t>
      </w:r>
    </w:p>
    <w:p w14:paraId="43B2FC5E" w14:textId="77777777" w:rsidR="00A1729D" w:rsidRDefault="00A1729D" w:rsidP="00A1729D">
      <w:pPr>
        <w:spacing w:line="360" w:lineRule="auto"/>
        <w:jc w:val="center"/>
        <w:rPr>
          <w:b/>
          <w:bCs/>
          <w:iCs/>
          <w:szCs w:val="24"/>
        </w:rPr>
      </w:pPr>
    </w:p>
    <w:p w14:paraId="44886B21" w14:textId="05100F5A" w:rsidR="00A1729D" w:rsidRDefault="00A1729D" w:rsidP="00A1729D">
      <w:pPr>
        <w:numPr>
          <w:ilvl w:val="0"/>
          <w:numId w:val="1"/>
        </w:numPr>
        <w:spacing w:line="360" w:lineRule="auto"/>
        <w:rPr>
          <w:iCs/>
          <w:szCs w:val="24"/>
        </w:rPr>
      </w:pPr>
      <w:r>
        <w:rPr>
          <w:szCs w:val="24"/>
        </w:rPr>
        <w:t xml:space="preserve">Cet Avis d’appel d’offres fait suite à l’Avis Général d’Appel d’Offres paru dans </w:t>
      </w:r>
      <w:r>
        <w:rPr>
          <w:iCs/>
          <w:szCs w:val="24"/>
        </w:rPr>
        <w:t>Togo presse</w:t>
      </w:r>
      <w:r>
        <w:rPr>
          <w:szCs w:val="24"/>
        </w:rPr>
        <w:t xml:space="preserve"> du </w:t>
      </w:r>
      <w:r w:rsidR="00E50EBA">
        <w:rPr>
          <w:iCs/>
          <w:szCs w:val="24"/>
        </w:rPr>
        <w:t>1</w:t>
      </w:r>
      <w:r>
        <w:rPr>
          <w:iCs/>
          <w:szCs w:val="24"/>
        </w:rPr>
        <w:t xml:space="preserve">1 </w:t>
      </w:r>
      <w:r w:rsidR="00E50EBA">
        <w:rPr>
          <w:iCs/>
          <w:szCs w:val="24"/>
        </w:rPr>
        <w:t>Octobre</w:t>
      </w:r>
      <w:r>
        <w:rPr>
          <w:iCs/>
          <w:szCs w:val="24"/>
        </w:rPr>
        <w:t xml:space="preserve"> 2024</w:t>
      </w:r>
    </w:p>
    <w:p w14:paraId="4082B325" w14:textId="77777777" w:rsidR="00A1729D" w:rsidRDefault="00A1729D" w:rsidP="00A1729D">
      <w:pPr>
        <w:numPr>
          <w:ilvl w:val="0"/>
          <w:numId w:val="1"/>
        </w:numPr>
        <w:spacing w:line="360" w:lineRule="auto"/>
        <w:jc w:val="both"/>
        <w:rPr>
          <w:szCs w:val="24"/>
        </w:rPr>
      </w:pPr>
      <w:r>
        <w:rPr>
          <w:iCs/>
          <w:szCs w:val="24"/>
        </w:rPr>
        <w:t xml:space="preserve">La commune de </w:t>
      </w:r>
      <w:proofErr w:type="spellStart"/>
      <w:r>
        <w:rPr>
          <w:iCs/>
          <w:szCs w:val="24"/>
        </w:rPr>
        <w:t>Wawa</w:t>
      </w:r>
      <w:proofErr w:type="spellEnd"/>
      <w:r>
        <w:rPr>
          <w:iCs/>
          <w:szCs w:val="24"/>
        </w:rPr>
        <w:t xml:space="preserve"> </w:t>
      </w:r>
      <w:r>
        <w:rPr>
          <w:iCs/>
          <w:color w:val="000000"/>
          <w:szCs w:val="24"/>
        </w:rPr>
        <w:t xml:space="preserve">1 a obtenu </w:t>
      </w:r>
      <w:r>
        <w:rPr>
          <w:color w:val="000000"/>
          <w:szCs w:val="24"/>
        </w:rPr>
        <w:t>des fonds de l’Agence Française de développement (AFD) et du fond d’appui aux collectivités territoriale (FACT), afin de financer</w:t>
      </w:r>
      <w:r>
        <w:rPr>
          <w:iCs/>
          <w:color w:val="000000"/>
          <w:szCs w:val="24"/>
        </w:rPr>
        <w:t xml:space="preserve"> le projet FICOL,</w:t>
      </w:r>
      <w:r>
        <w:rPr>
          <w:szCs w:val="24"/>
        </w:rPr>
        <w:t xml:space="preserve"> et a l’intention d’utiliser une partie de ces fonds pour effectuer un paiement au titre du Marché AA00 </w:t>
      </w:r>
      <w:r>
        <w:rPr>
          <w:iCs/>
          <w:szCs w:val="24"/>
        </w:rPr>
        <w:t>N° 001/RP/PW/CW1/2024 relatif à l’acquisition d’un BULLDOZER et d’une CHARGEUSE.</w:t>
      </w:r>
    </w:p>
    <w:p w14:paraId="711F6A54" w14:textId="77777777" w:rsidR="00A1729D" w:rsidRDefault="00A1729D" w:rsidP="00A1729D">
      <w:pPr>
        <w:numPr>
          <w:ilvl w:val="0"/>
          <w:numId w:val="1"/>
        </w:numPr>
        <w:spacing w:line="360" w:lineRule="auto"/>
        <w:jc w:val="both"/>
        <w:rPr>
          <w:szCs w:val="24"/>
        </w:rPr>
      </w:pPr>
      <w:r>
        <w:rPr>
          <w:iCs/>
          <w:szCs w:val="24"/>
        </w:rPr>
        <w:t xml:space="preserve">Le Maire de la commune Wawa1, agissant pour le compte de </w:t>
      </w:r>
      <w:r>
        <w:rPr>
          <w:szCs w:val="24"/>
        </w:rPr>
        <w:t>la commune</w:t>
      </w:r>
      <w:r>
        <w:rPr>
          <w:iCs/>
          <w:szCs w:val="24"/>
        </w:rPr>
        <w:t>,</w:t>
      </w:r>
      <w:r>
        <w:rPr>
          <w:szCs w:val="24"/>
        </w:rPr>
        <w:t xml:space="preserve"> sollicite des offres fermées de la part de candidats éligibles et répondant aux qualifications requises pour la livraison de fournitures constituées en deux (02) lots à savoir :</w:t>
      </w:r>
    </w:p>
    <w:p w14:paraId="5D3F1B30" w14:textId="77777777" w:rsidR="00A1729D" w:rsidRDefault="00A1729D" w:rsidP="00A1729D">
      <w:pPr>
        <w:numPr>
          <w:ilvl w:val="0"/>
          <w:numId w:val="2"/>
        </w:numPr>
        <w:rPr>
          <w:color w:val="000000"/>
          <w:szCs w:val="24"/>
        </w:rPr>
      </w:pPr>
      <w:r>
        <w:rPr>
          <w:b/>
          <w:szCs w:val="24"/>
        </w:rPr>
        <w:t>Lot 1</w:t>
      </w:r>
      <w:r>
        <w:rPr>
          <w:szCs w:val="24"/>
        </w:rPr>
        <w:t xml:space="preserve"> : Acquisition d’un bulldozer </w:t>
      </w:r>
      <w:r>
        <w:rPr>
          <w:color w:val="000000"/>
          <w:szCs w:val="24"/>
          <w:u w:val="single"/>
        </w:rPr>
        <w:t>MODELE ET TYPE</w:t>
      </w:r>
      <w:r>
        <w:rPr>
          <w:color w:val="000000"/>
          <w:szCs w:val="24"/>
        </w:rPr>
        <w:t xml:space="preserve"> : COMMINS NT-C280S10 en ligne, refroidi à l’eau, 4temps, soupape en tête, injection </w:t>
      </w:r>
      <w:proofErr w:type="spellStart"/>
      <w:r>
        <w:rPr>
          <w:color w:val="000000"/>
          <w:szCs w:val="24"/>
        </w:rPr>
        <w:t>directa</w:t>
      </w:r>
      <w:proofErr w:type="spellEnd"/>
      <w:r>
        <w:rPr>
          <w:color w:val="000000"/>
          <w:szCs w:val="24"/>
        </w:rPr>
        <w:t xml:space="preserve"> turbocompressé, diesel, </w:t>
      </w:r>
      <w:r>
        <w:rPr>
          <w:color w:val="000000"/>
          <w:szCs w:val="24"/>
          <w:u w:val="single"/>
        </w:rPr>
        <w:t>PUSSANCE </w:t>
      </w:r>
      <w:r>
        <w:rPr>
          <w:color w:val="000000"/>
          <w:szCs w:val="24"/>
        </w:rPr>
        <w:t>:la puissance totale : entre 170 et 180/235/1800kw/</w:t>
      </w:r>
      <w:proofErr w:type="spellStart"/>
      <w:r>
        <w:rPr>
          <w:color w:val="000000"/>
          <w:szCs w:val="24"/>
        </w:rPr>
        <w:t>hp</w:t>
      </w:r>
      <w:proofErr w:type="spellEnd"/>
      <w:r>
        <w:rPr>
          <w:color w:val="000000"/>
          <w:szCs w:val="24"/>
        </w:rPr>
        <w:t>/</w:t>
      </w:r>
      <w:proofErr w:type="spellStart"/>
      <w:r>
        <w:rPr>
          <w:color w:val="000000"/>
          <w:szCs w:val="24"/>
        </w:rPr>
        <w:t>rpm</w:t>
      </w:r>
      <w:proofErr w:type="spellEnd"/>
      <w:r>
        <w:rPr>
          <w:color w:val="000000"/>
          <w:szCs w:val="24"/>
        </w:rPr>
        <w:t>//puissance nette :162/220/1800kw/</w:t>
      </w:r>
      <w:proofErr w:type="spellStart"/>
      <w:r>
        <w:rPr>
          <w:color w:val="000000"/>
          <w:szCs w:val="24"/>
        </w:rPr>
        <w:t>hp</w:t>
      </w:r>
      <w:proofErr w:type="spellEnd"/>
      <w:r>
        <w:rPr>
          <w:color w:val="000000"/>
          <w:szCs w:val="24"/>
        </w:rPr>
        <w:t>/</w:t>
      </w:r>
      <w:proofErr w:type="spellStart"/>
      <w:r>
        <w:rPr>
          <w:color w:val="000000"/>
          <w:szCs w:val="24"/>
        </w:rPr>
        <w:t>rpm</w:t>
      </w:r>
      <w:proofErr w:type="spellEnd"/>
    </w:p>
    <w:p w14:paraId="5902F83F" w14:textId="77777777" w:rsidR="00A1729D" w:rsidRDefault="00A1729D" w:rsidP="00A1729D">
      <w:pPr>
        <w:spacing w:line="360" w:lineRule="auto"/>
        <w:jc w:val="both"/>
        <w:rPr>
          <w:szCs w:val="24"/>
          <w:highlight w:val="yellow"/>
        </w:rPr>
      </w:pPr>
    </w:p>
    <w:p w14:paraId="61FA73BC" w14:textId="77777777" w:rsidR="00A1729D" w:rsidRDefault="00A1729D" w:rsidP="00A1729D">
      <w:pPr>
        <w:numPr>
          <w:ilvl w:val="0"/>
          <w:numId w:val="3"/>
        </w:numPr>
        <w:spacing w:line="360" w:lineRule="auto"/>
        <w:ind w:left="709" w:hanging="283"/>
        <w:jc w:val="both"/>
        <w:rPr>
          <w:szCs w:val="24"/>
        </w:rPr>
      </w:pPr>
      <w:r>
        <w:rPr>
          <w:szCs w:val="24"/>
        </w:rPr>
        <w:t xml:space="preserve"> </w:t>
      </w:r>
      <w:r>
        <w:rPr>
          <w:b/>
          <w:szCs w:val="24"/>
        </w:rPr>
        <w:t>Lot 2</w:t>
      </w:r>
      <w:r>
        <w:rPr>
          <w:szCs w:val="24"/>
        </w:rPr>
        <w:t xml:space="preserve"> : Acquisition d'une chargeuse</w:t>
      </w:r>
      <w:r>
        <w:rPr>
          <w:iCs/>
          <w:szCs w:val="24"/>
        </w:rPr>
        <w:t>.</w:t>
      </w:r>
      <w:r>
        <w:rPr>
          <w:color w:val="000000"/>
          <w:szCs w:val="24"/>
        </w:rPr>
        <w:t xml:space="preserve"> </w:t>
      </w:r>
      <w:r>
        <w:rPr>
          <w:color w:val="000000"/>
          <w:szCs w:val="24"/>
          <w:u w:val="single"/>
        </w:rPr>
        <w:t>MODELE DE MOTEUR</w:t>
      </w:r>
      <w:r>
        <w:rPr>
          <w:color w:val="000000"/>
          <w:szCs w:val="24"/>
        </w:rPr>
        <w:t xml:space="preserve"> : </w:t>
      </w:r>
      <w:proofErr w:type="spellStart"/>
      <w:r>
        <w:rPr>
          <w:color w:val="000000"/>
          <w:szCs w:val="24"/>
        </w:rPr>
        <w:t>Weichai</w:t>
      </w:r>
      <w:proofErr w:type="spellEnd"/>
      <w:r>
        <w:rPr>
          <w:color w:val="000000"/>
          <w:szCs w:val="24"/>
        </w:rPr>
        <w:t xml:space="preserve"> WD10G220E23, </w:t>
      </w:r>
      <w:r>
        <w:rPr>
          <w:color w:val="000000"/>
          <w:szCs w:val="24"/>
          <w:u w:val="single"/>
        </w:rPr>
        <w:t>PUSSANCE NOMINALLE</w:t>
      </w:r>
      <w:r>
        <w:rPr>
          <w:color w:val="000000"/>
          <w:szCs w:val="24"/>
        </w:rPr>
        <w:t> : entre 160 et 165KW (220</w:t>
      </w:r>
      <w:proofErr w:type="gramStart"/>
      <w:r>
        <w:rPr>
          <w:color w:val="000000"/>
          <w:szCs w:val="24"/>
        </w:rPr>
        <w:t>hp)@</w:t>
      </w:r>
      <w:proofErr w:type="gramEnd"/>
      <w:r>
        <w:rPr>
          <w:color w:val="000000"/>
          <w:szCs w:val="24"/>
        </w:rPr>
        <w:t>2000rpm</w:t>
      </w:r>
      <w:r>
        <w:rPr>
          <w:szCs w:val="24"/>
        </w:rPr>
        <w:t xml:space="preserve"> </w:t>
      </w:r>
    </w:p>
    <w:p w14:paraId="6036CDE2" w14:textId="77777777" w:rsidR="00A1729D" w:rsidRDefault="00A1729D" w:rsidP="00A1729D">
      <w:pPr>
        <w:pStyle w:val="Paragraphedeliste"/>
        <w:rPr>
          <w:szCs w:val="24"/>
        </w:rPr>
      </w:pPr>
    </w:p>
    <w:p w14:paraId="31854818" w14:textId="77777777" w:rsidR="00A1729D" w:rsidRDefault="00A1729D" w:rsidP="00A1729D">
      <w:pPr>
        <w:spacing w:line="360" w:lineRule="auto"/>
        <w:ind w:left="360"/>
        <w:jc w:val="both"/>
        <w:rPr>
          <w:szCs w:val="24"/>
        </w:rPr>
      </w:pPr>
      <w:r>
        <w:rPr>
          <w:szCs w:val="24"/>
        </w:rPr>
        <w:t>Tout soumissionnaire peut être attributaire des deux (02) lots. Les fournitures seront livrées trente (30) jours à compter de la date de la signature du contrat.</w:t>
      </w:r>
    </w:p>
    <w:p w14:paraId="612B9742" w14:textId="77777777" w:rsidR="00A1729D" w:rsidRDefault="00A1729D" w:rsidP="00A1729D">
      <w:pPr>
        <w:numPr>
          <w:ilvl w:val="0"/>
          <w:numId w:val="1"/>
        </w:numPr>
        <w:spacing w:line="360" w:lineRule="auto"/>
        <w:jc w:val="both"/>
        <w:rPr>
          <w:szCs w:val="24"/>
        </w:rPr>
      </w:pPr>
      <w:r>
        <w:rPr>
          <w:iCs/>
          <w:szCs w:val="24"/>
        </w:rPr>
        <w:t xml:space="preserve"> </w:t>
      </w:r>
      <w:r>
        <w:rPr>
          <w:szCs w:val="24"/>
        </w:rPr>
        <w:t>La passation du Marché sera conduite par Appel d’offres ouvert tel que défini par le Code des marchés publics en vigueur et ses textes d’application</w:t>
      </w:r>
      <w:r>
        <w:rPr>
          <w:iCs/>
          <w:szCs w:val="24"/>
        </w:rPr>
        <w:t>,</w:t>
      </w:r>
      <w:r>
        <w:rPr>
          <w:szCs w:val="24"/>
        </w:rPr>
        <w:t xml:space="preserve"> et ouvert à tous les candidats éligibles. </w:t>
      </w:r>
    </w:p>
    <w:p w14:paraId="6056B74F" w14:textId="77777777" w:rsidR="00A1729D" w:rsidRDefault="00A1729D" w:rsidP="00A1729D">
      <w:pPr>
        <w:numPr>
          <w:ilvl w:val="0"/>
          <w:numId w:val="1"/>
        </w:numPr>
        <w:spacing w:line="360" w:lineRule="auto"/>
        <w:jc w:val="both"/>
        <w:rPr>
          <w:szCs w:val="24"/>
        </w:rPr>
      </w:pPr>
      <w:r>
        <w:rPr>
          <w:szCs w:val="24"/>
        </w:rPr>
        <w:t xml:space="preserve">Les candidats intéressés peuvent obtenir des informations auprès de </w:t>
      </w:r>
      <w:r>
        <w:rPr>
          <w:iCs/>
          <w:szCs w:val="24"/>
        </w:rPr>
        <w:t xml:space="preserve">la personne responsable des marchés publique de la commune de </w:t>
      </w:r>
      <w:proofErr w:type="spellStart"/>
      <w:r>
        <w:rPr>
          <w:iCs/>
          <w:szCs w:val="24"/>
        </w:rPr>
        <w:t>Wawa</w:t>
      </w:r>
      <w:proofErr w:type="spellEnd"/>
      <w:r>
        <w:rPr>
          <w:iCs/>
          <w:szCs w:val="24"/>
        </w:rPr>
        <w:t xml:space="preserve"> 1, monsieur ANLEKA </w:t>
      </w:r>
      <w:proofErr w:type="spellStart"/>
      <w:r>
        <w:rPr>
          <w:iCs/>
          <w:szCs w:val="24"/>
        </w:rPr>
        <w:t>Akpandé</w:t>
      </w:r>
      <w:proofErr w:type="spellEnd"/>
      <w:r>
        <w:rPr>
          <w:iCs/>
          <w:szCs w:val="24"/>
        </w:rPr>
        <w:t xml:space="preserve">, Tel 90 30 55 43 </w:t>
      </w:r>
      <w:r>
        <w:rPr>
          <w:szCs w:val="24"/>
        </w:rPr>
        <w:t xml:space="preserve">et prendre connaissance des documents d’Appel d’offres à l’adresse mentionnée ci-après </w:t>
      </w:r>
      <w:r>
        <w:rPr>
          <w:iCs/>
          <w:szCs w:val="24"/>
        </w:rPr>
        <w:t xml:space="preserve">commune de </w:t>
      </w:r>
      <w:proofErr w:type="spellStart"/>
      <w:r>
        <w:rPr>
          <w:iCs/>
          <w:szCs w:val="24"/>
        </w:rPr>
        <w:t>Wawa</w:t>
      </w:r>
      <w:proofErr w:type="spellEnd"/>
      <w:r>
        <w:rPr>
          <w:iCs/>
          <w:szCs w:val="24"/>
        </w:rPr>
        <w:t xml:space="preserve"> 1 à la Mairie de Badou</w:t>
      </w:r>
      <w:r>
        <w:rPr>
          <w:szCs w:val="24"/>
        </w:rPr>
        <w:t xml:space="preserve"> de </w:t>
      </w:r>
      <w:r>
        <w:rPr>
          <w:iCs/>
          <w:szCs w:val="24"/>
        </w:rPr>
        <w:t>7h30 à 12h00 et de 14h30 à 17h30</w:t>
      </w:r>
      <w:r>
        <w:rPr>
          <w:szCs w:val="24"/>
        </w:rPr>
        <w:t>.</w:t>
      </w:r>
    </w:p>
    <w:p w14:paraId="79C346F5" w14:textId="77777777" w:rsidR="00A1729D" w:rsidRDefault="00A1729D" w:rsidP="00A1729D">
      <w:pPr>
        <w:numPr>
          <w:ilvl w:val="0"/>
          <w:numId w:val="1"/>
        </w:numPr>
        <w:spacing w:line="360" w:lineRule="auto"/>
        <w:jc w:val="both"/>
        <w:rPr>
          <w:szCs w:val="24"/>
        </w:rPr>
      </w:pPr>
      <w:r>
        <w:rPr>
          <w:szCs w:val="24"/>
        </w:rPr>
        <w:t xml:space="preserve">Les exigences en matière de qualifications sont : </w:t>
      </w:r>
    </w:p>
    <w:p w14:paraId="53862F78" w14:textId="77777777" w:rsidR="00A1729D" w:rsidRDefault="00A1729D">
      <w:pPr>
        <w:numPr>
          <w:ilvl w:val="0"/>
          <w:numId w:val="4"/>
        </w:numPr>
        <w:spacing w:line="360" w:lineRule="auto"/>
        <w:jc w:val="both"/>
        <w:rPr>
          <w:szCs w:val="24"/>
        </w:rPr>
        <w:pPrChange w:id="0" w:author="Unknown" w:date="2024-09-02T10:09:00Z">
          <w:pPr>
            <w:numPr>
              <w:numId w:val="5"/>
            </w:numPr>
            <w:tabs>
              <w:tab w:val="num" w:pos="360"/>
              <w:tab w:val="num" w:pos="720"/>
            </w:tabs>
            <w:spacing w:line="360" w:lineRule="auto"/>
            <w:ind w:left="720" w:hanging="720"/>
            <w:jc w:val="both"/>
          </w:pPr>
        </w:pPrChange>
      </w:pPr>
      <w:r>
        <w:rPr>
          <w:szCs w:val="24"/>
        </w:rPr>
        <w:lastRenderedPageBreak/>
        <w:t>Les conditions légales de l’entreprise</w:t>
      </w:r>
    </w:p>
    <w:p w14:paraId="5DD80235" w14:textId="77777777" w:rsidR="00A1729D" w:rsidRDefault="00A1729D">
      <w:pPr>
        <w:numPr>
          <w:ilvl w:val="0"/>
          <w:numId w:val="4"/>
        </w:numPr>
        <w:spacing w:line="360" w:lineRule="auto"/>
        <w:jc w:val="both"/>
        <w:rPr>
          <w:szCs w:val="24"/>
        </w:rPr>
        <w:pPrChange w:id="1" w:author="Unknown" w:date="2024-09-02T10:09:00Z">
          <w:pPr>
            <w:numPr>
              <w:numId w:val="5"/>
            </w:numPr>
            <w:tabs>
              <w:tab w:val="num" w:pos="360"/>
              <w:tab w:val="num" w:pos="720"/>
            </w:tabs>
            <w:spacing w:line="360" w:lineRule="auto"/>
            <w:ind w:left="720" w:hanging="720"/>
            <w:jc w:val="both"/>
          </w:pPr>
        </w:pPrChange>
      </w:pPr>
      <w:r>
        <w:rPr>
          <w:szCs w:val="24"/>
        </w:rPr>
        <w:t xml:space="preserve">Les conditions financières et </w:t>
      </w:r>
    </w:p>
    <w:p w14:paraId="42D98F82" w14:textId="77777777" w:rsidR="00A1729D" w:rsidRDefault="00A1729D">
      <w:pPr>
        <w:numPr>
          <w:ilvl w:val="0"/>
          <w:numId w:val="4"/>
        </w:numPr>
        <w:spacing w:line="360" w:lineRule="auto"/>
        <w:jc w:val="both"/>
        <w:rPr>
          <w:szCs w:val="24"/>
        </w:rPr>
        <w:pPrChange w:id="2" w:author="Unknown" w:date="2024-09-02T10:09:00Z">
          <w:pPr>
            <w:numPr>
              <w:numId w:val="5"/>
            </w:numPr>
            <w:tabs>
              <w:tab w:val="num" w:pos="360"/>
              <w:tab w:val="num" w:pos="720"/>
            </w:tabs>
            <w:spacing w:line="360" w:lineRule="auto"/>
            <w:ind w:left="720" w:hanging="720"/>
            <w:jc w:val="both"/>
          </w:pPr>
        </w:pPrChange>
      </w:pPr>
      <w:r>
        <w:rPr>
          <w:szCs w:val="24"/>
        </w:rPr>
        <w:t>L’expérience de l’entreprise</w:t>
      </w:r>
    </w:p>
    <w:p w14:paraId="2F63496A" w14:textId="77777777" w:rsidR="00A1729D" w:rsidRDefault="00A1729D" w:rsidP="00A1729D">
      <w:pPr>
        <w:spacing w:after="200"/>
        <w:jc w:val="both"/>
        <w:rPr>
          <w:iCs/>
          <w:szCs w:val="24"/>
        </w:rPr>
      </w:pPr>
      <w:r>
        <w:rPr>
          <w:szCs w:val="24"/>
        </w:rPr>
        <w:t>Le Candidat doit fournir la preuve écrite qu’il satisfait aux exigences ci-après :</w:t>
      </w:r>
      <w:r>
        <w:rPr>
          <w:iCs/>
          <w:szCs w:val="24"/>
        </w:rPr>
        <w:t xml:space="preserve"> la justification est établie par une ou plusieurs des références suivantes : i) des déclarations appropriées des banques ou organismes financiers habilités, ou, le cas échéant, la preuve d’une assurance des risques professionnels, ii) la présentation des bilans ou d’extraits des bilans, dans les cas où la publication des bilans est prescrite par la législation du pays où le soumissionnaire est établi. Si, pour une raison justifiée, la soumissionnaire n’est pas en mesure de produire les références demandées, il est autorisé à prouver sa capacité par tout autre document considéré comme approprié par l’autorité contractante.</w:t>
      </w:r>
    </w:p>
    <w:p w14:paraId="0F044386" w14:textId="77777777" w:rsidR="00A1729D" w:rsidRDefault="00A1729D" w:rsidP="00A1729D">
      <w:pPr>
        <w:spacing w:after="200"/>
        <w:jc w:val="both"/>
        <w:rPr>
          <w:iCs/>
          <w:szCs w:val="24"/>
        </w:rPr>
      </w:pPr>
      <w:r>
        <w:rPr>
          <w:szCs w:val="24"/>
        </w:rPr>
        <w:t xml:space="preserve">Le Candidat doit prouver, documentation à l’appui, qu’il satisfait aux exigences d’expérience ci-après : </w:t>
      </w:r>
      <w:r>
        <w:rPr>
          <w:iCs/>
          <w:szCs w:val="24"/>
        </w:rPr>
        <w:t>existence de trois marchés similaires exécutés par le candidat au cours de cinq dernières années sera notamment justifié lorsque le marché nécessitera la mise en œuvre d’une logistique de distribution ou de service après-vente complexe ; la similarité des marchés sera définie d’une manière adaptée et portera sur la complexité des services de distribution et de service après-vente.</w:t>
      </w:r>
    </w:p>
    <w:p w14:paraId="319F2141" w14:textId="77777777" w:rsidR="00A1729D" w:rsidRDefault="00A1729D">
      <w:pPr>
        <w:spacing w:line="360" w:lineRule="auto"/>
        <w:jc w:val="both"/>
        <w:rPr>
          <w:iCs/>
          <w:szCs w:val="24"/>
        </w:rPr>
      </w:pPr>
      <w:r>
        <w:rPr>
          <w:szCs w:val="24"/>
        </w:rPr>
        <w:t xml:space="preserve">Le Candidat doit fournir la preuve écrite que les fournitures qu’il propose remplissent la condition d’utilisation suivante : </w:t>
      </w:r>
      <w:r>
        <w:rPr>
          <w:iCs/>
          <w:szCs w:val="24"/>
        </w:rPr>
        <w:t>le soumissionnaire doit apporter la preuve que le type de matériel proposé a déjà été commercialisé dans au moins trois pays autres que celui du fabricant, dont au moins deux ayant des conditions de service (climatiques notamment) similaires à celles prévalant au Togo et que ce matériel fonctionne de manière satisfaisante depuis trois ans au moins.</w:t>
      </w:r>
    </w:p>
    <w:p w14:paraId="40CB8F95" w14:textId="77777777" w:rsidR="00A1729D" w:rsidRDefault="00A1729D" w:rsidP="00A1729D">
      <w:pPr>
        <w:spacing w:line="360" w:lineRule="auto"/>
        <w:jc w:val="both"/>
        <w:rPr>
          <w:b/>
          <w:bCs/>
          <w:iCs/>
          <w:szCs w:val="24"/>
          <w:u w:val="single"/>
        </w:rPr>
      </w:pPr>
    </w:p>
    <w:p w14:paraId="5C502038" w14:textId="77777777" w:rsidR="00A1729D" w:rsidRDefault="00A1729D">
      <w:pPr>
        <w:spacing w:line="360" w:lineRule="auto"/>
        <w:jc w:val="both"/>
        <w:rPr>
          <w:b/>
          <w:bCs/>
          <w:iCs/>
          <w:szCs w:val="24"/>
        </w:rPr>
      </w:pPr>
      <w:r>
        <w:rPr>
          <w:b/>
          <w:bCs/>
          <w:iCs/>
          <w:szCs w:val="24"/>
          <w:u w:val="single"/>
        </w:rPr>
        <w:t>NB :</w:t>
      </w:r>
      <w:r>
        <w:rPr>
          <w:b/>
          <w:bCs/>
          <w:iCs/>
          <w:szCs w:val="24"/>
        </w:rPr>
        <w:t xml:space="preserve"> 1- Les soumissionnaires sont informés que leurs offres financières doivent être </w:t>
      </w:r>
      <w:proofErr w:type="gramStart"/>
      <w:r>
        <w:rPr>
          <w:b/>
          <w:bCs/>
          <w:iCs/>
          <w:szCs w:val="24"/>
        </w:rPr>
        <w:t>élaborées</w:t>
      </w:r>
      <w:proofErr w:type="gramEnd"/>
      <w:r>
        <w:rPr>
          <w:b/>
          <w:bCs/>
          <w:iCs/>
          <w:szCs w:val="24"/>
        </w:rPr>
        <w:t xml:space="preserve"> dans le respect des prix contenus dans la dernière version du répertoire des prix de référence (mercuriale des prix) disponible sur le site du Ministère de l’économie et des finances au </w:t>
      </w:r>
      <w:hyperlink r:id="rId7" w:history="1">
        <w:r>
          <w:rPr>
            <w:rStyle w:val="Lienhypertexte"/>
            <w:b/>
            <w:bCs/>
            <w:iCs/>
            <w:szCs w:val="24"/>
          </w:rPr>
          <w:t>https://finances.gouv.tg</w:t>
        </w:r>
      </w:hyperlink>
      <w:r>
        <w:rPr>
          <w:b/>
          <w:bCs/>
          <w:iCs/>
          <w:szCs w:val="24"/>
        </w:rPr>
        <w:t>. Dans le cas contraire, leurs offres seront redressées.</w:t>
      </w:r>
    </w:p>
    <w:p w14:paraId="08F0DD10" w14:textId="77777777" w:rsidR="00A1729D" w:rsidRDefault="00A1729D" w:rsidP="00A1729D">
      <w:pPr>
        <w:spacing w:line="360" w:lineRule="auto"/>
        <w:jc w:val="both"/>
        <w:rPr>
          <w:b/>
          <w:bCs/>
          <w:iCs/>
          <w:szCs w:val="24"/>
        </w:rPr>
      </w:pPr>
    </w:p>
    <w:p w14:paraId="1B5D64B0" w14:textId="77777777" w:rsidR="00A1729D" w:rsidRDefault="00A1729D" w:rsidP="00A1729D">
      <w:pPr>
        <w:spacing w:line="360" w:lineRule="auto"/>
        <w:jc w:val="both"/>
        <w:rPr>
          <w:b/>
          <w:bCs/>
          <w:iCs/>
          <w:szCs w:val="24"/>
        </w:rPr>
      </w:pPr>
      <w:r>
        <w:rPr>
          <w:b/>
          <w:bCs/>
          <w:iCs/>
          <w:szCs w:val="24"/>
        </w:rPr>
        <w:t>2- Les sociétés nouvellement créées qui sont dans l’impossibilité de fournir les états financiers des trois ’03) dernières années (2021,2022 et 2023) exigés sont autorisées à prouver leur capacités économique et financière par tout autre document substitutif distinct de l’attestation de capacité financière.</w:t>
      </w:r>
    </w:p>
    <w:p w14:paraId="68EC7E6A" w14:textId="77777777" w:rsidR="00A1729D" w:rsidRDefault="00A1729D" w:rsidP="00A1729D">
      <w:pPr>
        <w:spacing w:line="360" w:lineRule="auto"/>
        <w:jc w:val="both"/>
        <w:rPr>
          <w:b/>
          <w:bCs/>
          <w:iCs/>
          <w:szCs w:val="24"/>
        </w:rPr>
      </w:pPr>
    </w:p>
    <w:p w14:paraId="53BA977A" w14:textId="77777777" w:rsidR="00A1729D" w:rsidRDefault="00A1729D" w:rsidP="00A1729D">
      <w:pPr>
        <w:numPr>
          <w:ilvl w:val="0"/>
          <w:numId w:val="1"/>
        </w:numPr>
        <w:spacing w:line="360" w:lineRule="auto"/>
        <w:jc w:val="both"/>
        <w:rPr>
          <w:szCs w:val="24"/>
        </w:rPr>
      </w:pPr>
      <w:r>
        <w:rPr>
          <w:szCs w:val="24"/>
        </w:rPr>
        <w:t>Les candidats intéressés peuvent consulter le dossier d’Appel d’offres complet ou le retirer à titre onéreux contre paiement</w:t>
      </w:r>
      <w:r>
        <w:rPr>
          <w:rStyle w:val="Appelnotedebasdep"/>
          <w:szCs w:val="24"/>
        </w:rPr>
        <w:footnoteReference w:id="1"/>
      </w:r>
      <w:r>
        <w:rPr>
          <w:szCs w:val="24"/>
        </w:rPr>
        <w:t xml:space="preserve"> d’une somme non remboursable de </w:t>
      </w:r>
      <w:r>
        <w:rPr>
          <w:iCs/>
          <w:szCs w:val="24"/>
        </w:rPr>
        <w:t xml:space="preserve">Cinquante </w:t>
      </w:r>
      <w:r>
        <w:rPr>
          <w:iCs/>
          <w:szCs w:val="24"/>
        </w:rPr>
        <w:lastRenderedPageBreak/>
        <w:t xml:space="preserve">mille (50 000) FCFA </w:t>
      </w:r>
      <w:r>
        <w:rPr>
          <w:szCs w:val="24"/>
        </w:rPr>
        <w:t>à l’adresse mentionnée ci-après : la comptabilité de la mairie de Badou.</w:t>
      </w:r>
      <w:r>
        <w:rPr>
          <w:iCs/>
          <w:szCs w:val="24"/>
        </w:rPr>
        <w:t xml:space="preserve"> </w:t>
      </w:r>
      <w:r>
        <w:rPr>
          <w:szCs w:val="24"/>
        </w:rPr>
        <w:t xml:space="preserve">La méthode de paiement sera </w:t>
      </w:r>
      <w:r>
        <w:rPr>
          <w:iCs/>
          <w:szCs w:val="24"/>
        </w:rPr>
        <w:t>en espèces ou par T money au 90 62 30 25.</w:t>
      </w:r>
      <w:r>
        <w:rPr>
          <w:szCs w:val="24"/>
        </w:rPr>
        <w:t xml:space="preserve"> Le Dossier d’Appel d’offres sera adressé par </w:t>
      </w:r>
      <w:r>
        <w:rPr>
          <w:iCs/>
          <w:szCs w:val="24"/>
        </w:rPr>
        <w:t xml:space="preserve">la PRMP ou président de </w:t>
      </w:r>
      <w:proofErr w:type="spellStart"/>
      <w:r>
        <w:rPr>
          <w:iCs/>
          <w:szCs w:val="24"/>
        </w:rPr>
        <w:t>CGMaP</w:t>
      </w:r>
      <w:proofErr w:type="spellEnd"/>
    </w:p>
    <w:p w14:paraId="3851FD89" w14:textId="588636A7" w:rsidR="00A1729D" w:rsidRDefault="00A1729D" w:rsidP="00A1729D">
      <w:pPr>
        <w:numPr>
          <w:ilvl w:val="0"/>
          <w:numId w:val="1"/>
        </w:numPr>
        <w:spacing w:line="360" w:lineRule="auto"/>
        <w:jc w:val="both"/>
        <w:rPr>
          <w:szCs w:val="24"/>
        </w:rPr>
      </w:pPr>
      <w:r>
        <w:rPr>
          <w:szCs w:val="24"/>
        </w:rPr>
        <w:t xml:space="preserve">Les offres devront être soumises à l’adresse ci-après </w:t>
      </w:r>
      <w:r>
        <w:rPr>
          <w:iCs/>
          <w:szCs w:val="24"/>
        </w:rPr>
        <w:t xml:space="preserve">la PRMP, </w:t>
      </w:r>
      <w:proofErr w:type="spellStart"/>
      <w:r>
        <w:rPr>
          <w:iCs/>
          <w:szCs w:val="24"/>
        </w:rPr>
        <w:t>CGMaP</w:t>
      </w:r>
      <w:proofErr w:type="spellEnd"/>
      <w:r>
        <w:rPr>
          <w:iCs/>
          <w:szCs w:val="24"/>
        </w:rPr>
        <w:t xml:space="preserve"> de la Mairie de Badou face l’église des assemblées de Dieu et entre la rue de l’Hôpital et celle de l’hôtel Abuta au</w:t>
      </w:r>
      <w:r>
        <w:rPr>
          <w:szCs w:val="24"/>
        </w:rPr>
        <w:t xml:space="preserve"> plus </w:t>
      </w:r>
      <w:r w:rsidRPr="00D26E2A">
        <w:rPr>
          <w:szCs w:val="24"/>
        </w:rPr>
        <w:t>tard le</w:t>
      </w:r>
      <w:r w:rsidR="0033259D" w:rsidRPr="00D26E2A">
        <w:rPr>
          <w:szCs w:val="24"/>
        </w:rPr>
        <w:t xml:space="preserve"> 25 Octobre</w:t>
      </w:r>
      <w:r w:rsidRPr="00D26E2A">
        <w:rPr>
          <w:iCs/>
          <w:color w:val="000000"/>
          <w:szCs w:val="24"/>
        </w:rPr>
        <w:t xml:space="preserve"> 2024</w:t>
      </w:r>
      <w:r>
        <w:rPr>
          <w:iCs/>
          <w:color w:val="000000"/>
          <w:szCs w:val="24"/>
        </w:rPr>
        <w:t xml:space="preserve"> à 10 h 00</w:t>
      </w:r>
      <w:r>
        <w:rPr>
          <w:szCs w:val="24"/>
        </w:rPr>
        <w:t xml:space="preserve"> Les offres remises en retard ne seront pas acceptées. </w:t>
      </w:r>
    </w:p>
    <w:p w14:paraId="3C783EEC" w14:textId="34F65B67" w:rsidR="00A1729D" w:rsidRPr="00155B6B" w:rsidRDefault="00A1729D" w:rsidP="00A1729D">
      <w:pPr>
        <w:numPr>
          <w:ilvl w:val="0"/>
          <w:numId w:val="1"/>
        </w:numPr>
        <w:spacing w:line="360" w:lineRule="auto"/>
        <w:jc w:val="both"/>
        <w:rPr>
          <w:color w:val="000000" w:themeColor="text1"/>
          <w:szCs w:val="24"/>
        </w:rPr>
      </w:pPr>
      <w:r w:rsidRPr="000B024A">
        <w:rPr>
          <w:szCs w:val="24"/>
        </w:rPr>
        <w:t>Les offres</w:t>
      </w:r>
      <w:r>
        <w:rPr>
          <w:szCs w:val="24"/>
        </w:rPr>
        <w:t xml:space="preserve"> doivent comprendre </w:t>
      </w:r>
      <w:r w:rsidRPr="00155B6B">
        <w:rPr>
          <w:b/>
          <w:iCs/>
          <w:color w:val="000000" w:themeColor="text1"/>
          <w:szCs w:val="24"/>
        </w:rPr>
        <w:t>une garantie bancaire de soumission de deux millions (2 000 000) de francs CFA pour chaque lot.</w:t>
      </w:r>
    </w:p>
    <w:p w14:paraId="6C12A884" w14:textId="77777777" w:rsidR="00A1729D" w:rsidRDefault="00A1729D" w:rsidP="00A1729D">
      <w:pPr>
        <w:numPr>
          <w:ilvl w:val="0"/>
          <w:numId w:val="1"/>
        </w:numPr>
        <w:spacing w:line="360" w:lineRule="auto"/>
        <w:jc w:val="both"/>
        <w:rPr>
          <w:szCs w:val="24"/>
        </w:rPr>
      </w:pPr>
      <w:r>
        <w:rPr>
          <w:szCs w:val="24"/>
        </w:rPr>
        <w:t xml:space="preserve">Les candidats resteront engagés par leur offre pendant une période de </w:t>
      </w:r>
      <w:r w:rsidRPr="00155B6B">
        <w:rPr>
          <w:iCs/>
          <w:color w:val="000000" w:themeColor="text1"/>
          <w:szCs w:val="24"/>
        </w:rPr>
        <w:t xml:space="preserve">cent vingt (120) </w:t>
      </w:r>
      <w:r>
        <w:rPr>
          <w:iCs/>
          <w:szCs w:val="24"/>
        </w:rPr>
        <w:t xml:space="preserve">jours </w:t>
      </w:r>
      <w:r>
        <w:rPr>
          <w:szCs w:val="24"/>
        </w:rPr>
        <w:t>à compter de la date limite du dépôt des offres.</w:t>
      </w:r>
    </w:p>
    <w:p w14:paraId="22D7C66B" w14:textId="2C689E14" w:rsidR="00A1729D" w:rsidRDefault="00A1729D" w:rsidP="00A1729D">
      <w:pPr>
        <w:numPr>
          <w:ilvl w:val="0"/>
          <w:numId w:val="1"/>
        </w:numPr>
        <w:spacing w:line="360" w:lineRule="auto"/>
        <w:jc w:val="both"/>
        <w:rPr>
          <w:color w:val="000000"/>
          <w:szCs w:val="24"/>
        </w:rPr>
      </w:pPr>
      <w:r>
        <w:rPr>
          <w:szCs w:val="24"/>
        </w:rPr>
        <w:t xml:space="preserve">Les offres seront ouvertes en présence des représentants des soumissionnaires qui </w:t>
      </w:r>
      <w:r>
        <w:rPr>
          <w:color w:val="000000"/>
          <w:szCs w:val="24"/>
        </w:rPr>
        <w:t xml:space="preserve">souhaitent assister à l’ouverture des plis </w:t>
      </w:r>
      <w:r w:rsidR="0033259D" w:rsidRPr="0033259D">
        <w:rPr>
          <w:color w:val="000000"/>
          <w:szCs w:val="24"/>
        </w:rPr>
        <w:t xml:space="preserve">le 25 Octobre </w:t>
      </w:r>
      <w:r w:rsidRPr="0033259D">
        <w:rPr>
          <w:iCs/>
          <w:color w:val="000000"/>
          <w:szCs w:val="24"/>
        </w:rPr>
        <w:t>2024</w:t>
      </w:r>
      <w:r>
        <w:rPr>
          <w:iCs/>
          <w:color w:val="000000"/>
          <w:szCs w:val="24"/>
        </w:rPr>
        <w:t xml:space="preserve"> à 10 h 30</w:t>
      </w:r>
      <w:r>
        <w:rPr>
          <w:color w:val="000000"/>
          <w:szCs w:val="24"/>
        </w:rPr>
        <w:t xml:space="preserve"> à l’adresse suivante : Salle de réunion de la Mairie de Badou</w:t>
      </w:r>
    </w:p>
    <w:p w14:paraId="4AE3B117" w14:textId="77777777" w:rsidR="00A1729D" w:rsidRDefault="00A1729D" w:rsidP="00A1729D">
      <w:pPr>
        <w:spacing w:line="360" w:lineRule="auto"/>
        <w:rPr>
          <w:color w:val="FF0000"/>
          <w:szCs w:val="24"/>
        </w:rPr>
      </w:pPr>
    </w:p>
    <w:p w14:paraId="1C0D9E5E" w14:textId="77777777" w:rsidR="00A1729D" w:rsidRDefault="00A1729D" w:rsidP="00A1729D">
      <w:pPr>
        <w:spacing w:line="360" w:lineRule="auto"/>
        <w:ind w:left="5664" w:firstLine="708"/>
        <w:rPr>
          <w:b/>
          <w:bCs/>
          <w:szCs w:val="24"/>
        </w:rPr>
      </w:pPr>
      <w:r>
        <w:rPr>
          <w:b/>
          <w:bCs/>
          <w:szCs w:val="24"/>
        </w:rPr>
        <w:t>La PRMP</w:t>
      </w:r>
    </w:p>
    <w:p w14:paraId="51813BE9" w14:textId="77777777" w:rsidR="00A1729D" w:rsidRDefault="00A1729D" w:rsidP="00A1729D">
      <w:pPr>
        <w:spacing w:line="360" w:lineRule="auto"/>
        <w:ind w:left="5664" w:firstLine="708"/>
        <w:rPr>
          <w:szCs w:val="24"/>
        </w:rPr>
      </w:pPr>
    </w:p>
    <w:p w14:paraId="65E44996" w14:textId="77777777" w:rsidR="00A1729D" w:rsidRDefault="00A1729D" w:rsidP="00A1729D">
      <w:pPr>
        <w:spacing w:line="360" w:lineRule="auto"/>
        <w:ind w:left="5664" w:firstLine="708"/>
        <w:rPr>
          <w:szCs w:val="24"/>
        </w:rPr>
      </w:pPr>
    </w:p>
    <w:p w14:paraId="01E7E792" w14:textId="77777777" w:rsidR="00A1729D" w:rsidRDefault="00A1729D" w:rsidP="00A1729D">
      <w:pPr>
        <w:spacing w:line="360" w:lineRule="auto"/>
        <w:ind w:left="5664" w:firstLine="708"/>
        <w:rPr>
          <w:b/>
          <w:bCs/>
          <w:szCs w:val="24"/>
          <w:u w:val="single"/>
        </w:rPr>
      </w:pPr>
      <w:r>
        <w:rPr>
          <w:b/>
          <w:bCs/>
          <w:szCs w:val="24"/>
          <w:u w:val="single"/>
        </w:rPr>
        <w:t xml:space="preserve">ANLEKA </w:t>
      </w:r>
      <w:proofErr w:type="spellStart"/>
      <w:r>
        <w:rPr>
          <w:b/>
          <w:bCs/>
          <w:szCs w:val="24"/>
          <w:u w:val="single"/>
        </w:rPr>
        <w:t>Akpandé</w:t>
      </w:r>
      <w:proofErr w:type="spellEnd"/>
    </w:p>
    <w:p w14:paraId="38AB8AFB" w14:textId="77777777" w:rsidR="00A1729D" w:rsidRDefault="00A1729D" w:rsidP="00A1729D">
      <w:pPr>
        <w:spacing w:line="360" w:lineRule="auto"/>
        <w:rPr>
          <w:i/>
          <w:sz w:val="20"/>
        </w:rPr>
      </w:pPr>
    </w:p>
    <w:p w14:paraId="27FF88D8" w14:textId="77777777" w:rsidR="00D17FBA" w:rsidRDefault="00D17FBA"/>
    <w:sectPr w:rsidR="00D17F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E73" w14:textId="77777777" w:rsidR="00A45E0F" w:rsidRDefault="00A45E0F" w:rsidP="00A1729D">
      <w:r>
        <w:separator/>
      </w:r>
    </w:p>
  </w:endnote>
  <w:endnote w:type="continuationSeparator" w:id="0">
    <w:p w14:paraId="04938CE4" w14:textId="77777777" w:rsidR="00A45E0F" w:rsidRDefault="00A45E0F" w:rsidP="00A1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CE2F" w14:textId="77777777" w:rsidR="00A45E0F" w:rsidRDefault="00A45E0F" w:rsidP="00A1729D">
      <w:r>
        <w:separator/>
      </w:r>
    </w:p>
  </w:footnote>
  <w:footnote w:type="continuationSeparator" w:id="0">
    <w:p w14:paraId="66155FDF" w14:textId="77777777" w:rsidR="00A45E0F" w:rsidRDefault="00A45E0F" w:rsidP="00A1729D">
      <w:r>
        <w:continuationSeparator/>
      </w:r>
    </w:p>
  </w:footnote>
  <w:footnote w:id="1">
    <w:p w14:paraId="7744A922" w14:textId="77777777" w:rsidR="00A1729D" w:rsidRDefault="00A1729D" w:rsidP="00A1729D"/>
    <w:p w14:paraId="20196CD9" w14:textId="77777777" w:rsidR="00A1729D" w:rsidRDefault="00A1729D" w:rsidP="00A1729D">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054"/>
    <w:multiLevelType w:val="multilevel"/>
    <w:tmpl w:val="96420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3924A6"/>
    <w:multiLevelType w:val="hybridMultilevel"/>
    <w:tmpl w:val="6A803378"/>
    <w:lvl w:ilvl="0" w:tplc="20000001">
      <w:start w:val="1"/>
      <w:numFmt w:val="bullet"/>
      <w:lvlText w:val=""/>
      <w:lvlJc w:val="left"/>
      <w:pPr>
        <w:ind w:left="720" w:hanging="360"/>
      </w:pPr>
      <w:rPr>
        <w:rFonts w:ascii="Symbol" w:eastAsia="Times New Roman" w:hAnsi="Symbol" w:cs="Times New Roman"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B841E6C"/>
    <w:multiLevelType w:val="hybridMultilevel"/>
    <w:tmpl w:val="B68EDA06"/>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 w15:restartNumberingAfterBreak="0">
    <w:nsid w:val="414E1E11"/>
    <w:multiLevelType w:val="hybridMultilevel"/>
    <w:tmpl w:val="73AA9B8E"/>
    <w:lvl w:ilvl="0" w:tplc="20000001">
      <w:start w:val="1"/>
      <w:numFmt w:val="bullet"/>
      <w:lvlText w:val=""/>
      <w:lvlJc w:val="left"/>
      <w:pPr>
        <w:ind w:left="783" w:hanging="360"/>
      </w:pPr>
      <w:rPr>
        <w:rFonts w:ascii="Symbol" w:hAnsi="Symbol" w:hint="default"/>
      </w:rPr>
    </w:lvl>
    <w:lvl w:ilvl="1" w:tplc="20000003">
      <w:start w:val="1"/>
      <w:numFmt w:val="bullet"/>
      <w:lvlText w:val="o"/>
      <w:lvlJc w:val="left"/>
      <w:pPr>
        <w:ind w:left="1503" w:hanging="360"/>
      </w:pPr>
      <w:rPr>
        <w:rFonts w:ascii="Courier New" w:hAnsi="Courier New" w:cs="Courier New" w:hint="default"/>
      </w:rPr>
    </w:lvl>
    <w:lvl w:ilvl="2" w:tplc="20000005">
      <w:start w:val="1"/>
      <w:numFmt w:val="bullet"/>
      <w:lvlText w:val=""/>
      <w:lvlJc w:val="left"/>
      <w:pPr>
        <w:ind w:left="2223" w:hanging="360"/>
      </w:pPr>
      <w:rPr>
        <w:rFonts w:ascii="Wingdings" w:hAnsi="Wingdings" w:hint="default"/>
      </w:rPr>
    </w:lvl>
    <w:lvl w:ilvl="3" w:tplc="20000001">
      <w:start w:val="1"/>
      <w:numFmt w:val="bullet"/>
      <w:lvlText w:val=""/>
      <w:lvlJc w:val="left"/>
      <w:pPr>
        <w:ind w:left="2943" w:hanging="360"/>
      </w:pPr>
      <w:rPr>
        <w:rFonts w:ascii="Symbol" w:hAnsi="Symbol" w:hint="default"/>
      </w:rPr>
    </w:lvl>
    <w:lvl w:ilvl="4" w:tplc="20000003">
      <w:start w:val="1"/>
      <w:numFmt w:val="bullet"/>
      <w:lvlText w:val="o"/>
      <w:lvlJc w:val="left"/>
      <w:pPr>
        <w:ind w:left="3663" w:hanging="360"/>
      </w:pPr>
      <w:rPr>
        <w:rFonts w:ascii="Courier New" w:hAnsi="Courier New" w:cs="Courier New" w:hint="default"/>
      </w:rPr>
    </w:lvl>
    <w:lvl w:ilvl="5" w:tplc="20000005">
      <w:start w:val="1"/>
      <w:numFmt w:val="bullet"/>
      <w:lvlText w:val=""/>
      <w:lvlJc w:val="left"/>
      <w:pPr>
        <w:ind w:left="4383" w:hanging="360"/>
      </w:pPr>
      <w:rPr>
        <w:rFonts w:ascii="Wingdings" w:hAnsi="Wingdings" w:hint="default"/>
      </w:rPr>
    </w:lvl>
    <w:lvl w:ilvl="6" w:tplc="20000001">
      <w:start w:val="1"/>
      <w:numFmt w:val="bullet"/>
      <w:lvlText w:val=""/>
      <w:lvlJc w:val="left"/>
      <w:pPr>
        <w:ind w:left="5103" w:hanging="360"/>
      </w:pPr>
      <w:rPr>
        <w:rFonts w:ascii="Symbol" w:hAnsi="Symbol" w:hint="default"/>
      </w:rPr>
    </w:lvl>
    <w:lvl w:ilvl="7" w:tplc="20000003">
      <w:start w:val="1"/>
      <w:numFmt w:val="bullet"/>
      <w:lvlText w:val="o"/>
      <w:lvlJc w:val="left"/>
      <w:pPr>
        <w:ind w:left="5823" w:hanging="360"/>
      </w:pPr>
      <w:rPr>
        <w:rFonts w:ascii="Courier New" w:hAnsi="Courier New" w:cs="Courier New" w:hint="default"/>
      </w:rPr>
    </w:lvl>
    <w:lvl w:ilvl="8" w:tplc="20000005">
      <w:start w:val="1"/>
      <w:numFmt w:val="bullet"/>
      <w:lvlText w:val=""/>
      <w:lvlJc w:val="left"/>
      <w:pPr>
        <w:ind w:left="6543" w:hanging="360"/>
      </w:pPr>
      <w:rPr>
        <w:rFonts w:ascii="Wingdings" w:hAnsi="Wingdings" w:hint="default"/>
      </w:rPr>
    </w:lvl>
  </w:abstractNum>
  <w:abstractNum w:abstractNumId="4" w15:restartNumberingAfterBreak="0">
    <w:nsid w:val="62B33FAB"/>
    <w:multiLevelType w:val="hybridMultilevel"/>
    <w:tmpl w:val="3D9843A0"/>
    <w:lvl w:ilvl="0" w:tplc="9F54E448">
      <w:start w:val="1"/>
      <w:numFmt w:val="decimal"/>
      <w:lvlText w:val="%1."/>
      <w:lvlJc w:val="left"/>
      <w:pPr>
        <w:ind w:left="786" w:hanging="360"/>
      </w:pPr>
      <w:rPr>
        <w:i w:val="0"/>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656688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340583">
    <w:abstractNumId w:val="3"/>
  </w:num>
  <w:num w:numId="3" w16cid:durableId="435365705">
    <w:abstractNumId w:val="1"/>
  </w:num>
  <w:num w:numId="4" w16cid:durableId="442119130">
    <w:abstractNumId w:val="2"/>
  </w:num>
  <w:num w:numId="5" w16cid:durableId="1311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9D"/>
    <w:rsid w:val="000B024A"/>
    <w:rsid w:val="00155B6B"/>
    <w:rsid w:val="002D4362"/>
    <w:rsid w:val="0033259D"/>
    <w:rsid w:val="004D5774"/>
    <w:rsid w:val="00A1729D"/>
    <w:rsid w:val="00A45E0F"/>
    <w:rsid w:val="00B547F8"/>
    <w:rsid w:val="00CE7D9F"/>
    <w:rsid w:val="00D17FBA"/>
    <w:rsid w:val="00D26E2A"/>
    <w:rsid w:val="00E50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C229"/>
  <w15:chartTrackingRefBased/>
  <w15:docId w15:val="{1D459A50-9A07-45F1-A1E1-6C3363E3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9D"/>
    <w:pPr>
      <w:spacing w:after="0" w:line="240" w:lineRule="auto"/>
    </w:pPr>
    <w:rPr>
      <w:rFonts w:ascii="Times New Roman" w:eastAsia="Times New Roman" w:hAnsi="Times New Roman" w:cs="Times New Roman"/>
      <w:kern w:val="0"/>
      <w:sz w:val="24"/>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A1729D"/>
    <w:rPr>
      <w:rFonts w:ascii="Times New Roman" w:hAnsi="Times New Roman" w:cs="Times New Roman" w:hint="default"/>
      <w:color w:val="0000FF"/>
      <w:u w:val="single"/>
    </w:rPr>
  </w:style>
  <w:style w:type="paragraph" w:styleId="Notedebasdepage">
    <w:name w:val="footnote text"/>
    <w:basedOn w:val="Normal"/>
    <w:link w:val="NotedebasdepageCar"/>
    <w:uiPriority w:val="99"/>
    <w:semiHidden/>
    <w:unhideWhenUsed/>
    <w:rsid w:val="00A1729D"/>
    <w:pPr>
      <w:jc w:val="both"/>
    </w:pPr>
    <w:rPr>
      <w:sz w:val="20"/>
      <w:lang w:val="es-ES_tradnl"/>
    </w:rPr>
  </w:style>
  <w:style w:type="character" w:customStyle="1" w:styleId="NotedebasdepageCar">
    <w:name w:val="Note de bas de page Car"/>
    <w:basedOn w:val="Policepardfaut"/>
    <w:link w:val="Notedebasdepage"/>
    <w:uiPriority w:val="99"/>
    <w:semiHidden/>
    <w:rsid w:val="00A1729D"/>
    <w:rPr>
      <w:rFonts w:ascii="Times New Roman" w:eastAsia="Times New Roman" w:hAnsi="Times New Roman" w:cs="Times New Roman"/>
      <w:kern w:val="0"/>
      <w:sz w:val="20"/>
      <w:szCs w:val="20"/>
      <w:lang w:val="es-ES_tradnl" w:eastAsia="fr-FR"/>
      <w14:ligatures w14:val="none"/>
    </w:rPr>
  </w:style>
  <w:style w:type="paragraph" w:styleId="Titre">
    <w:name w:val="Title"/>
    <w:basedOn w:val="Normal"/>
    <w:link w:val="TitreCar"/>
    <w:uiPriority w:val="99"/>
    <w:qFormat/>
    <w:rsid w:val="00A1729D"/>
    <w:pPr>
      <w:jc w:val="center"/>
    </w:pPr>
    <w:rPr>
      <w:b/>
      <w:sz w:val="48"/>
      <w:lang w:val="es-ES_tradnl"/>
    </w:rPr>
  </w:style>
  <w:style w:type="character" w:customStyle="1" w:styleId="TitreCar">
    <w:name w:val="Titre Car"/>
    <w:basedOn w:val="Policepardfaut"/>
    <w:link w:val="Titre"/>
    <w:uiPriority w:val="99"/>
    <w:rsid w:val="00A1729D"/>
    <w:rPr>
      <w:rFonts w:ascii="Times New Roman" w:eastAsia="Times New Roman" w:hAnsi="Times New Roman" w:cs="Times New Roman"/>
      <w:b/>
      <w:kern w:val="0"/>
      <w:sz w:val="48"/>
      <w:szCs w:val="20"/>
      <w:lang w:val="es-ES_tradnl" w:eastAsia="fr-FR"/>
      <w14:ligatures w14:val="none"/>
    </w:rPr>
  </w:style>
  <w:style w:type="paragraph" w:styleId="Sous-titre">
    <w:name w:val="Subtitle"/>
    <w:basedOn w:val="Normal"/>
    <w:link w:val="Sous-titreCar"/>
    <w:uiPriority w:val="99"/>
    <w:qFormat/>
    <w:rsid w:val="00A1729D"/>
    <w:pPr>
      <w:jc w:val="center"/>
    </w:pPr>
    <w:rPr>
      <w:b/>
      <w:sz w:val="44"/>
      <w:lang w:val="es-ES_tradnl"/>
    </w:rPr>
  </w:style>
  <w:style w:type="character" w:customStyle="1" w:styleId="Sous-titreCar">
    <w:name w:val="Sous-titre Car"/>
    <w:basedOn w:val="Policepardfaut"/>
    <w:link w:val="Sous-titre"/>
    <w:uiPriority w:val="99"/>
    <w:rsid w:val="00A1729D"/>
    <w:rPr>
      <w:rFonts w:ascii="Times New Roman" w:eastAsia="Times New Roman" w:hAnsi="Times New Roman" w:cs="Times New Roman"/>
      <w:b/>
      <w:kern w:val="0"/>
      <w:sz w:val="44"/>
      <w:szCs w:val="20"/>
      <w:lang w:val="es-ES_tradnl" w:eastAsia="fr-FR"/>
      <w14:ligatures w14:val="none"/>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locked/>
    <w:rsid w:val="00A1729D"/>
    <w:rPr>
      <w:rFonts w:ascii="Times New Roman" w:eastAsia="Times New Roman" w:hAnsi="Times New Roman" w:cs="Times New Roman"/>
      <w:sz w:val="24"/>
    </w:r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A1729D"/>
    <w:pPr>
      <w:ind w:left="720"/>
      <w:contextualSpacing/>
    </w:pPr>
    <w:rPr>
      <w:kern w:val="2"/>
      <w:szCs w:val="22"/>
      <w:lang w:eastAsia="en-US"/>
      <w14:ligatures w14:val="standardContextual"/>
    </w:rPr>
  </w:style>
  <w:style w:type="paragraph" w:customStyle="1" w:styleId="i">
    <w:name w:val="(i)"/>
    <w:basedOn w:val="Normal"/>
    <w:uiPriority w:val="99"/>
    <w:rsid w:val="00A1729D"/>
    <w:pPr>
      <w:suppressAutoHyphens/>
      <w:jc w:val="both"/>
    </w:pPr>
    <w:rPr>
      <w:rFonts w:ascii="Tms Rmn" w:hAnsi="Tms Rmn"/>
      <w:lang w:val="en-US"/>
    </w:rPr>
  </w:style>
  <w:style w:type="paragraph" w:customStyle="1" w:styleId="BankNormal">
    <w:name w:val="BankNormal"/>
    <w:basedOn w:val="Normal"/>
    <w:uiPriority w:val="99"/>
    <w:rsid w:val="00A1729D"/>
    <w:pPr>
      <w:spacing w:after="240"/>
    </w:pPr>
    <w:rPr>
      <w:lang w:val="en-US"/>
    </w:rPr>
  </w:style>
  <w:style w:type="character" w:styleId="Appelnotedebasdep">
    <w:name w:val="footnote reference"/>
    <w:uiPriority w:val="99"/>
    <w:semiHidden/>
    <w:unhideWhenUsed/>
    <w:rsid w:val="00A1729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s.gouv.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COMPTABILITE</dc:creator>
  <cp:keywords/>
  <dc:description/>
  <cp:lastModifiedBy>COMPTABILITE</cp:lastModifiedBy>
  <cp:revision>21</cp:revision>
  <dcterms:created xsi:type="dcterms:W3CDTF">2024-09-09T05:28:00Z</dcterms:created>
  <dcterms:modified xsi:type="dcterms:W3CDTF">2024-09-14T05:25:00Z</dcterms:modified>
</cp:coreProperties>
</file>